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39D85">
      <w:pPr>
        <w:jc w:val="center"/>
        <w:rPr>
          <w:rFonts w:hint="eastAsia" w:ascii="宋体" w:hAnsi="宋体" w:eastAsia="宋体" w:cs="宋体"/>
          <w:b/>
          <w:bCs/>
          <w:sz w:val="48"/>
          <w:szCs w:val="48"/>
        </w:rPr>
      </w:pPr>
    </w:p>
    <w:p w14:paraId="215EE13E">
      <w:pPr>
        <w:jc w:val="center"/>
        <w:rPr>
          <w:rFonts w:hint="eastAsia" w:ascii="宋体" w:hAnsi="宋体" w:eastAsia="宋体" w:cs="宋体"/>
          <w:b/>
          <w:bCs/>
          <w:sz w:val="48"/>
          <w:szCs w:val="48"/>
        </w:rPr>
      </w:pPr>
    </w:p>
    <w:p w14:paraId="721986D8">
      <w:pPr>
        <w:jc w:val="center"/>
        <w:rPr>
          <w:rFonts w:hint="eastAsia" w:ascii="宋体" w:hAnsi="宋体" w:eastAsia="宋体" w:cs="宋体"/>
          <w:b/>
          <w:bCs/>
          <w:sz w:val="48"/>
          <w:szCs w:val="48"/>
        </w:rPr>
      </w:pPr>
    </w:p>
    <w:p w14:paraId="3087B106">
      <w:pPr>
        <w:jc w:val="center"/>
        <w:rPr>
          <w:rFonts w:hint="eastAsia" w:ascii="宋体" w:hAnsi="宋体" w:eastAsia="宋体" w:cs="宋体"/>
          <w:b/>
          <w:bCs/>
          <w:sz w:val="48"/>
          <w:szCs w:val="48"/>
        </w:rPr>
      </w:pPr>
    </w:p>
    <w:p w14:paraId="0E930BE7">
      <w:pPr>
        <w:jc w:val="center"/>
        <w:rPr>
          <w:rFonts w:hint="eastAsia" w:ascii="宋体" w:hAnsi="宋体" w:eastAsia="宋体" w:cs="宋体"/>
          <w:b/>
          <w:bCs/>
          <w:sz w:val="48"/>
          <w:szCs w:val="48"/>
        </w:rPr>
      </w:pPr>
    </w:p>
    <w:p w14:paraId="0002C280">
      <w:pPr>
        <w:jc w:val="center"/>
        <w:rPr>
          <w:rFonts w:hint="eastAsia" w:ascii="宋体" w:hAnsi="宋体" w:eastAsia="宋体" w:cs="宋体"/>
          <w:b/>
          <w:bCs/>
          <w:sz w:val="48"/>
          <w:szCs w:val="48"/>
        </w:rPr>
      </w:pPr>
      <w:r>
        <w:rPr>
          <w:rFonts w:hint="eastAsia" w:ascii="宋体" w:hAnsi="宋体" w:eastAsia="宋体" w:cs="宋体"/>
          <w:b/>
          <w:bCs/>
          <w:sz w:val="48"/>
          <w:szCs w:val="48"/>
        </w:rPr>
        <w:t>北京北燃实业集团有限公司</w:t>
      </w:r>
    </w:p>
    <w:p w14:paraId="0C6F8B6F">
      <w:pPr>
        <w:jc w:val="center"/>
        <w:rPr>
          <w:rFonts w:hint="eastAsia" w:ascii="宋体" w:hAnsi="宋体" w:eastAsia="宋体" w:cs="宋体"/>
          <w:b/>
          <w:bCs/>
          <w:sz w:val="48"/>
          <w:szCs w:val="48"/>
        </w:rPr>
      </w:pPr>
    </w:p>
    <w:p w14:paraId="237736F3">
      <w:pPr>
        <w:jc w:val="center"/>
        <w:rPr>
          <w:rFonts w:hint="eastAsia" w:ascii="宋体" w:hAnsi="宋体" w:eastAsia="宋体" w:cs="宋体"/>
          <w:b/>
          <w:bCs/>
          <w:sz w:val="48"/>
          <w:szCs w:val="48"/>
        </w:rPr>
      </w:pPr>
    </w:p>
    <w:p w14:paraId="2D913108">
      <w:pPr>
        <w:jc w:val="center"/>
        <w:rPr>
          <w:rFonts w:hint="eastAsia" w:ascii="宋体" w:hAnsi="宋体" w:eastAsia="宋体" w:cs="宋体"/>
          <w:b/>
          <w:bCs/>
          <w:sz w:val="48"/>
          <w:szCs w:val="48"/>
        </w:rPr>
      </w:pPr>
    </w:p>
    <w:p w14:paraId="23E494A6">
      <w:pPr>
        <w:jc w:val="center"/>
        <w:rPr>
          <w:rFonts w:hint="eastAsia" w:ascii="宋体" w:hAnsi="宋体" w:eastAsia="宋体" w:cs="宋体"/>
          <w:b/>
          <w:bCs/>
          <w:sz w:val="48"/>
          <w:szCs w:val="48"/>
        </w:rPr>
      </w:pPr>
    </w:p>
    <w:p w14:paraId="67897114">
      <w:pPr>
        <w:jc w:val="center"/>
        <w:rPr>
          <w:rFonts w:hint="eastAsia" w:ascii="仿宋" w:hAnsi="仿宋" w:eastAsia="仿宋"/>
          <w:sz w:val="28"/>
          <w:szCs w:val="28"/>
        </w:rPr>
      </w:pPr>
      <w:r>
        <w:rPr>
          <w:rFonts w:hint="eastAsia" w:ascii="宋体" w:hAnsi="宋体" w:eastAsia="宋体" w:cs="宋体"/>
          <w:b/>
          <w:bCs/>
          <w:sz w:val="48"/>
          <w:szCs w:val="48"/>
        </w:rPr>
        <w:t>2023年部门整体绩效评价报告</w:t>
      </w:r>
    </w:p>
    <w:p w14:paraId="30E5EE6D">
      <w:pPr>
        <w:rPr>
          <w:rFonts w:hint="eastAsia" w:ascii="仿宋" w:hAnsi="仿宋" w:eastAsia="仿宋"/>
          <w:sz w:val="28"/>
          <w:szCs w:val="28"/>
        </w:rPr>
      </w:pPr>
    </w:p>
    <w:p w14:paraId="576CE3DF">
      <w:pPr>
        <w:rPr>
          <w:rFonts w:hint="eastAsia" w:ascii="仿宋" w:hAnsi="仿宋" w:eastAsia="仿宋"/>
          <w:sz w:val="28"/>
          <w:szCs w:val="28"/>
        </w:rPr>
      </w:pPr>
    </w:p>
    <w:p w14:paraId="478B8A22">
      <w:pPr>
        <w:rPr>
          <w:rFonts w:hint="eastAsia" w:ascii="仿宋" w:hAnsi="仿宋" w:eastAsia="仿宋"/>
          <w:sz w:val="28"/>
          <w:szCs w:val="28"/>
        </w:rPr>
      </w:pPr>
    </w:p>
    <w:p w14:paraId="60844D55">
      <w:pPr>
        <w:rPr>
          <w:rFonts w:hint="eastAsia" w:ascii="仿宋" w:hAnsi="仿宋" w:eastAsia="仿宋"/>
          <w:sz w:val="28"/>
          <w:szCs w:val="28"/>
        </w:rPr>
      </w:pPr>
    </w:p>
    <w:p w14:paraId="63CC2832">
      <w:pPr>
        <w:rPr>
          <w:rFonts w:hint="eastAsia" w:ascii="仿宋" w:hAnsi="仿宋" w:eastAsia="仿宋"/>
          <w:sz w:val="28"/>
          <w:szCs w:val="28"/>
        </w:rPr>
      </w:pPr>
    </w:p>
    <w:p w14:paraId="0AEE94CD">
      <w:pPr>
        <w:rPr>
          <w:rFonts w:hint="eastAsia" w:ascii="仿宋" w:hAnsi="仿宋" w:eastAsia="仿宋"/>
          <w:sz w:val="28"/>
          <w:szCs w:val="28"/>
        </w:rPr>
      </w:pPr>
    </w:p>
    <w:p w14:paraId="671EAD98">
      <w:pPr>
        <w:rPr>
          <w:rFonts w:hint="eastAsia" w:ascii="仿宋" w:hAnsi="仿宋" w:eastAsia="仿宋"/>
          <w:sz w:val="28"/>
          <w:szCs w:val="28"/>
        </w:rPr>
      </w:pPr>
    </w:p>
    <w:p w14:paraId="42E26FE0">
      <w:pPr>
        <w:rPr>
          <w:rFonts w:hint="eastAsia" w:ascii="仿宋" w:hAnsi="仿宋" w:eastAsia="仿宋"/>
          <w:sz w:val="28"/>
          <w:szCs w:val="28"/>
        </w:rPr>
      </w:pPr>
    </w:p>
    <w:p w14:paraId="4812C6DF">
      <w:pPr>
        <w:rPr>
          <w:rFonts w:hint="eastAsia" w:ascii="仿宋" w:hAnsi="仿宋" w:eastAsia="仿宋"/>
          <w:sz w:val="28"/>
          <w:szCs w:val="28"/>
        </w:rPr>
      </w:pPr>
    </w:p>
    <w:p w14:paraId="532A6CD7">
      <w:pPr>
        <w:rPr>
          <w:rFonts w:hint="eastAsia" w:ascii="仿宋" w:hAnsi="仿宋" w:eastAsia="仿宋"/>
          <w:sz w:val="28"/>
          <w:szCs w:val="28"/>
        </w:rPr>
      </w:pPr>
    </w:p>
    <w:p w14:paraId="721DCBBA">
      <w:pPr>
        <w:rPr>
          <w:rFonts w:hint="eastAsia" w:ascii="仿宋" w:hAnsi="仿宋" w:eastAsia="仿宋"/>
          <w:sz w:val="28"/>
          <w:szCs w:val="28"/>
        </w:rPr>
      </w:pPr>
    </w:p>
    <w:p w14:paraId="327A01A3">
      <w:pPr>
        <w:rPr>
          <w:rFonts w:hint="eastAsia" w:ascii="宋体" w:hAnsi="宋体" w:eastAsia="宋体" w:cs="宋体"/>
          <w:sz w:val="28"/>
          <w:szCs w:val="28"/>
        </w:rPr>
      </w:pPr>
      <w:r>
        <w:rPr>
          <w:rFonts w:hint="eastAsia" w:ascii="宋体" w:hAnsi="宋体" w:eastAsia="宋体" w:cs="宋体"/>
          <w:sz w:val="28"/>
          <w:szCs w:val="28"/>
        </w:rPr>
        <w:t>一、部门概况</w:t>
      </w:r>
    </w:p>
    <w:p w14:paraId="1D6D4340">
      <w:pPr>
        <w:ind w:firstLine="560" w:firstLineChars="200"/>
        <w:rPr>
          <w:rFonts w:hint="eastAsia" w:ascii="宋体" w:hAnsi="宋体" w:eastAsia="宋体" w:cs="宋体"/>
          <w:sz w:val="28"/>
          <w:szCs w:val="28"/>
        </w:rPr>
      </w:pPr>
      <w:r>
        <w:rPr>
          <w:rFonts w:hint="eastAsia" w:ascii="宋体" w:hAnsi="宋体" w:eastAsia="宋体" w:cs="宋体"/>
          <w:sz w:val="28"/>
          <w:szCs w:val="28"/>
        </w:rPr>
        <w:t>1、部门机构设置：</w:t>
      </w:r>
    </w:p>
    <w:p w14:paraId="40BD82B4">
      <w:pPr>
        <w:ind w:firstLine="560" w:firstLineChars="200"/>
        <w:rPr>
          <w:rFonts w:hint="eastAsia" w:ascii="宋体" w:hAnsi="宋体" w:eastAsia="宋体" w:cs="宋体"/>
          <w:sz w:val="28"/>
          <w:szCs w:val="28"/>
        </w:rPr>
      </w:pPr>
      <w:r>
        <w:rPr>
          <w:rFonts w:hint="eastAsia" w:ascii="宋体" w:hAnsi="宋体" w:eastAsia="宋体" w:cs="宋体"/>
          <w:sz w:val="28"/>
          <w:szCs w:val="28"/>
        </w:rPr>
        <w:t>北京北燃实业集团有限公司经营范围包括燃气供应与销售；制造、加工、销售燃气设备用具等。主要业务涵盖液化气销售、智能供热、设计咨询、工程施工、科技研发、表业制造和现代服务业等领域。所属2个部门预算单位分别为北京市公用事业科学研究所有限公司和北京北燃特种设备检验检测有限公司</w:t>
      </w:r>
      <w:bookmarkStart w:id="0" w:name="_GoBack"/>
      <w:bookmarkEnd w:id="0"/>
      <w:r>
        <w:rPr>
          <w:rFonts w:hint="eastAsia" w:ascii="宋体" w:hAnsi="宋体" w:eastAsia="宋体" w:cs="宋体"/>
          <w:sz w:val="28"/>
          <w:szCs w:val="28"/>
        </w:rPr>
        <w:t>。</w:t>
      </w:r>
    </w:p>
    <w:p w14:paraId="382B7FAA">
      <w:pPr>
        <w:ind w:firstLine="560" w:firstLineChars="200"/>
        <w:rPr>
          <w:rFonts w:hint="eastAsia" w:ascii="宋体" w:hAnsi="宋体" w:eastAsia="宋体" w:cs="宋体"/>
          <w:sz w:val="28"/>
          <w:szCs w:val="28"/>
        </w:rPr>
      </w:pPr>
      <w:r>
        <w:rPr>
          <w:rFonts w:hint="eastAsia" w:ascii="宋体" w:hAnsi="宋体" w:eastAsia="宋体" w:cs="宋体"/>
          <w:sz w:val="28"/>
          <w:szCs w:val="28"/>
        </w:rPr>
        <w:t>北京市公用事业科学研究所根据《关于“成立北京市公用事业科学研究所的报告”的批复》（﹝78﹞京计科字339号、﹝78﹞京建字第168号、﹝78﹞京科综字第61号、﹝78﹞京革财字第97号），于1978年9月正式成立。现已完成事业单位转企改制，公司名称为北京市公用事业科学研究所有限公司（以下简称科研所公司），已于2023年3月7日完成工商登记注册。</w:t>
      </w:r>
    </w:p>
    <w:p w14:paraId="67D89C59">
      <w:pPr>
        <w:ind w:firstLine="560" w:firstLineChars="200"/>
        <w:rPr>
          <w:rFonts w:hint="eastAsia" w:ascii="宋体" w:hAnsi="宋体" w:eastAsia="宋体" w:cs="宋体"/>
          <w:sz w:val="28"/>
          <w:szCs w:val="28"/>
        </w:rPr>
      </w:pPr>
      <w:r>
        <w:rPr>
          <w:rFonts w:hint="eastAsia" w:ascii="宋体" w:hAnsi="宋体" w:eastAsia="宋体" w:cs="宋体"/>
          <w:sz w:val="28"/>
          <w:szCs w:val="28"/>
        </w:rPr>
        <w:t>北京市燃气集团有限责任公司特种设备检验所， 经北京市机构编制委员会《北京市编制委员会办公室【1987】京编事字第178号》批复于1987年12月正式成立的局属正处级事业单位。于2023年9月5日取得工商营业执照，转为企业，单位名称变更为北京北燃特种设备检验检测有限公司（简称“北燃特检”）。</w:t>
      </w:r>
    </w:p>
    <w:p w14:paraId="602A9DD6">
      <w:pPr>
        <w:ind w:firstLine="560" w:firstLineChars="200"/>
        <w:rPr>
          <w:rFonts w:hint="eastAsia" w:ascii="宋体" w:hAnsi="宋体" w:eastAsia="宋体" w:cs="宋体"/>
          <w:sz w:val="28"/>
          <w:szCs w:val="28"/>
        </w:rPr>
      </w:pPr>
      <w:r>
        <w:rPr>
          <w:rFonts w:hint="eastAsia" w:ascii="宋体" w:hAnsi="宋体" w:eastAsia="宋体" w:cs="宋体"/>
          <w:sz w:val="28"/>
          <w:szCs w:val="28"/>
        </w:rPr>
        <w:t>2、职责：</w:t>
      </w:r>
    </w:p>
    <w:p w14:paraId="1541FAFE">
      <w:pPr>
        <w:ind w:firstLine="560" w:firstLineChars="200"/>
        <w:rPr>
          <w:rFonts w:hint="eastAsia" w:ascii="宋体" w:hAnsi="宋体" w:eastAsia="宋体" w:cs="宋体"/>
          <w:sz w:val="28"/>
          <w:szCs w:val="28"/>
        </w:rPr>
      </w:pPr>
      <w:r>
        <w:rPr>
          <w:rFonts w:hint="eastAsia" w:ascii="宋体" w:hAnsi="宋体" w:eastAsia="宋体" w:cs="宋体"/>
          <w:sz w:val="28"/>
          <w:szCs w:val="28"/>
        </w:rPr>
        <w:t>科研所公司主要开展检验检测服务；安全评价业务。自然科学研究和试验发展；安全咨询服务；信息技术咨询服务；环保咨询服务；节能管理服务；信息系统集成服务；技术服务、技术开发、技术咨询、技术交流、技术转让、技术推广；软件开发；通用设备修理；电子、机械设备维护（不含特种设备）；非居住房地产租赁；租赁服务（不含许可类租赁服务）；小微型客车租赁经营服务；物业管理。</w:t>
      </w:r>
    </w:p>
    <w:p w14:paraId="1982855A">
      <w:pPr>
        <w:ind w:firstLine="560" w:firstLineChars="200"/>
        <w:rPr>
          <w:rFonts w:hint="eastAsia" w:ascii="宋体" w:hAnsi="宋体" w:eastAsia="宋体" w:cs="宋体"/>
          <w:sz w:val="28"/>
          <w:szCs w:val="28"/>
        </w:rPr>
      </w:pPr>
      <w:r>
        <w:rPr>
          <w:rFonts w:hint="eastAsia" w:ascii="宋体" w:hAnsi="宋体" w:eastAsia="宋体" w:cs="宋体"/>
          <w:sz w:val="28"/>
          <w:szCs w:val="28"/>
        </w:rPr>
        <w:t>北燃特检主要职责是：特种设备检验检测；检验检测服务；安全评价业务；安全咨询服务；技术服务；技术开发；技术咨询；技术交流；技术转让；技术推广等。</w:t>
      </w:r>
    </w:p>
    <w:p w14:paraId="41031A69">
      <w:pPr>
        <w:ind w:firstLine="560" w:firstLineChars="200"/>
        <w:rPr>
          <w:rFonts w:hint="eastAsia" w:ascii="宋体" w:hAnsi="宋体" w:eastAsia="宋体" w:cs="宋体"/>
          <w:sz w:val="28"/>
          <w:szCs w:val="28"/>
        </w:rPr>
      </w:pPr>
      <w:r>
        <w:rPr>
          <w:rFonts w:hint="eastAsia" w:ascii="宋体" w:hAnsi="宋体" w:eastAsia="宋体" w:cs="宋体"/>
          <w:sz w:val="28"/>
          <w:szCs w:val="28"/>
        </w:rPr>
        <w:t>3、人员构成情况</w:t>
      </w:r>
    </w:p>
    <w:p w14:paraId="09E62336">
      <w:pPr>
        <w:ind w:firstLine="560" w:firstLineChars="200"/>
        <w:rPr>
          <w:rFonts w:hint="eastAsia" w:ascii="宋体" w:hAnsi="宋体" w:eastAsia="宋体" w:cs="宋体"/>
          <w:sz w:val="28"/>
          <w:szCs w:val="28"/>
        </w:rPr>
      </w:pPr>
      <w:r>
        <w:rPr>
          <w:rFonts w:hint="eastAsia" w:ascii="宋体" w:hAnsi="宋体" w:eastAsia="宋体" w:cs="宋体"/>
          <w:sz w:val="28"/>
          <w:szCs w:val="28"/>
        </w:rPr>
        <w:t>科研所公司劳动合同制人员76人；聘用人员0人。离退休人员121人，其中：离休1人，退休120人。</w:t>
      </w:r>
    </w:p>
    <w:p w14:paraId="42320DF3">
      <w:pPr>
        <w:ind w:firstLine="560" w:firstLineChars="200"/>
        <w:rPr>
          <w:rFonts w:hint="eastAsia" w:ascii="宋体" w:hAnsi="宋体" w:eastAsia="宋体" w:cs="宋体"/>
          <w:sz w:val="28"/>
          <w:szCs w:val="28"/>
        </w:rPr>
      </w:pPr>
      <w:r>
        <w:rPr>
          <w:rFonts w:hint="eastAsia" w:ascii="宋体" w:hAnsi="宋体" w:eastAsia="宋体" w:cs="宋体"/>
          <w:sz w:val="28"/>
          <w:szCs w:val="28"/>
        </w:rPr>
        <w:t>北燃特检现有职工48人。其中:正式职工37人,较上年同期增加5人；退休职工11人，较上年同期持平。</w:t>
      </w:r>
    </w:p>
    <w:p w14:paraId="0AE20FFE">
      <w:pPr>
        <w:rPr>
          <w:rFonts w:hint="eastAsia" w:ascii="宋体" w:hAnsi="宋体" w:eastAsia="宋体" w:cs="宋体"/>
          <w:sz w:val="28"/>
          <w:szCs w:val="28"/>
        </w:rPr>
      </w:pPr>
    </w:p>
    <w:p w14:paraId="7EA664A8">
      <w:pPr>
        <w:rPr>
          <w:rFonts w:hint="eastAsia" w:ascii="宋体" w:hAnsi="宋体" w:eastAsia="宋体" w:cs="宋体"/>
          <w:sz w:val="28"/>
          <w:szCs w:val="28"/>
        </w:rPr>
      </w:pPr>
      <w:r>
        <w:rPr>
          <w:rFonts w:hint="eastAsia" w:ascii="宋体" w:hAnsi="宋体" w:eastAsia="宋体" w:cs="宋体"/>
          <w:sz w:val="28"/>
          <w:szCs w:val="28"/>
        </w:rPr>
        <w:t>二、部门整体绩效目标设立情况</w:t>
      </w:r>
    </w:p>
    <w:p w14:paraId="2F2DFD79">
      <w:pPr>
        <w:ind w:firstLine="560" w:firstLineChars="200"/>
        <w:rPr>
          <w:rFonts w:hint="eastAsia" w:ascii="宋体" w:hAnsi="宋体" w:eastAsia="宋体" w:cs="宋体"/>
          <w:sz w:val="28"/>
          <w:szCs w:val="28"/>
        </w:rPr>
      </w:pPr>
      <w:r>
        <w:rPr>
          <w:rFonts w:hint="eastAsia" w:ascii="宋体" w:hAnsi="宋体" w:eastAsia="宋体" w:cs="宋体"/>
          <w:sz w:val="28"/>
          <w:szCs w:val="28"/>
        </w:rPr>
        <w:t>1.绩效目标设立依据</w:t>
      </w:r>
    </w:p>
    <w:p w14:paraId="7FB09156">
      <w:pPr>
        <w:ind w:firstLine="560" w:firstLineChars="200"/>
        <w:rPr>
          <w:rFonts w:hint="eastAsia" w:ascii="宋体" w:hAnsi="宋体" w:eastAsia="宋体" w:cs="宋体"/>
          <w:sz w:val="28"/>
          <w:szCs w:val="28"/>
        </w:rPr>
      </w:pPr>
      <w:r>
        <w:rPr>
          <w:rFonts w:hint="eastAsia" w:ascii="宋体" w:hAnsi="宋体" w:eastAsia="宋体" w:cs="宋体"/>
          <w:sz w:val="28"/>
          <w:szCs w:val="28"/>
        </w:rPr>
        <w:t>本部门围绕部门职责及2023年重点工作任务设立绩效目标，符合相关法律法规的要求及部门整体支出的客观实际，目标依据充分。</w:t>
      </w:r>
    </w:p>
    <w:p w14:paraId="09DAD393">
      <w:pPr>
        <w:ind w:firstLine="560" w:firstLineChars="200"/>
        <w:rPr>
          <w:rFonts w:hint="eastAsia" w:ascii="宋体" w:hAnsi="宋体" w:eastAsia="宋体" w:cs="宋体"/>
          <w:sz w:val="28"/>
          <w:szCs w:val="28"/>
        </w:rPr>
      </w:pPr>
      <w:r>
        <w:rPr>
          <w:rFonts w:hint="eastAsia" w:ascii="宋体" w:hAnsi="宋体" w:eastAsia="宋体" w:cs="宋体"/>
          <w:sz w:val="28"/>
          <w:szCs w:val="28"/>
        </w:rPr>
        <w:t>2.目标与职责任务匹配情况</w:t>
      </w:r>
    </w:p>
    <w:p w14:paraId="17B2426F">
      <w:pPr>
        <w:ind w:firstLine="560" w:firstLineChars="200"/>
        <w:rPr>
          <w:rFonts w:hint="eastAsia" w:ascii="宋体" w:hAnsi="宋体" w:eastAsia="宋体" w:cs="宋体"/>
          <w:sz w:val="28"/>
          <w:szCs w:val="28"/>
        </w:rPr>
      </w:pPr>
      <w:r>
        <w:rPr>
          <w:rFonts w:hint="eastAsia" w:ascii="宋体" w:hAnsi="宋体" w:eastAsia="宋体" w:cs="宋体"/>
          <w:sz w:val="28"/>
          <w:szCs w:val="28"/>
        </w:rPr>
        <w:t>绩效目标设定符合国家相关要求，指标设定与部门职能任务匹配，以保障下属单位“事改企”改革过渡期平稳过渡为绩效目标。</w:t>
      </w:r>
    </w:p>
    <w:p w14:paraId="1101A249">
      <w:pPr>
        <w:rPr>
          <w:rFonts w:hint="eastAsia" w:ascii="仿宋" w:hAnsi="仿宋" w:eastAsia="仿宋"/>
          <w:sz w:val="28"/>
          <w:szCs w:val="28"/>
        </w:rPr>
      </w:pPr>
    </w:p>
    <w:p w14:paraId="09606A19">
      <w:pPr>
        <w:rPr>
          <w:rFonts w:hint="eastAsia" w:ascii="宋体" w:hAnsi="宋体" w:eastAsia="宋体" w:cs="宋体"/>
          <w:sz w:val="28"/>
          <w:szCs w:val="28"/>
        </w:rPr>
      </w:pPr>
      <w:r>
        <w:rPr>
          <w:rFonts w:hint="eastAsia" w:ascii="宋体" w:hAnsi="宋体" w:eastAsia="宋体" w:cs="宋体"/>
          <w:sz w:val="28"/>
          <w:szCs w:val="28"/>
        </w:rPr>
        <w:t>三、当年预算执行情况</w:t>
      </w:r>
    </w:p>
    <w:p w14:paraId="2699EECD">
      <w:pPr>
        <w:ind w:firstLine="560"/>
        <w:rPr>
          <w:rFonts w:hint="eastAsia" w:ascii="宋体" w:hAnsi="宋体" w:eastAsia="宋体" w:cs="宋体"/>
          <w:sz w:val="28"/>
          <w:szCs w:val="28"/>
        </w:rPr>
      </w:pPr>
      <w:r>
        <w:rPr>
          <w:rFonts w:hint="eastAsia" w:ascii="宋体" w:hAnsi="宋体" w:eastAsia="宋体" w:cs="宋体"/>
          <w:sz w:val="28"/>
          <w:szCs w:val="28"/>
        </w:rPr>
        <w:t>2023年本部门预算仅涉及下属两单位的改革过渡期政策保障经费项目。</w:t>
      </w:r>
    </w:p>
    <w:p w14:paraId="63BE4CDC">
      <w:pPr>
        <w:ind w:firstLine="560" w:firstLineChars="200"/>
        <w:rPr>
          <w:rFonts w:hint="eastAsia" w:ascii="宋体" w:hAnsi="宋体" w:eastAsia="宋体" w:cs="宋体"/>
          <w:sz w:val="28"/>
          <w:szCs w:val="28"/>
        </w:rPr>
      </w:pPr>
      <w:r>
        <w:rPr>
          <w:rFonts w:ascii="宋体" w:hAnsi="宋体" w:eastAsia="宋体" w:cs="宋体"/>
          <w:sz w:val="28"/>
          <w:szCs w:val="28"/>
        </w:rPr>
        <w:t>资金投入：依照转企改制前三年基本经费平均数计算，</w:t>
      </w:r>
    </w:p>
    <w:p w14:paraId="6527EE26">
      <w:pPr>
        <w:ind w:firstLine="560" w:firstLineChars="200"/>
        <w:rPr>
          <w:rFonts w:hint="eastAsia" w:ascii="宋体" w:hAnsi="宋体" w:eastAsia="宋体" w:cs="宋体"/>
          <w:sz w:val="28"/>
          <w:szCs w:val="28"/>
        </w:rPr>
      </w:pPr>
      <w:r>
        <w:rPr>
          <w:rFonts w:ascii="宋体" w:hAnsi="宋体" w:eastAsia="宋体" w:cs="宋体"/>
          <w:sz w:val="28"/>
          <w:szCs w:val="28"/>
        </w:rPr>
        <w:t>经费总额</w:t>
      </w:r>
      <w:r>
        <w:rPr>
          <w:rFonts w:hint="eastAsia" w:ascii="宋体" w:hAnsi="宋体" w:eastAsia="宋体" w:cs="宋体"/>
          <w:sz w:val="28"/>
          <w:szCs w:val="28"/>
        </w:rPr>
        <w:t>：</w:t>
      </w:r>
      <w:r>
        <w:rPr>
          <w:rFonts w:ascii="宋体" w:hAnsi="宋体" w:eastAsia="宋体" w:cs="宋体"/>
          <w:sz w:val="28"/>
          <w:szCs w:val="28"/>
        </w:rPr>
        <w:t>3169.98万元，其中北燃特检为827.80万元，科研所公司为2342.18万元。</w:t>
      </w:r>
    </w:p>
    <w:p w14:paraId="2F60B0C4">
      <w:pPr>
        <w:ind w:firstLine="560" w:firstLineChars="200"/>
        <w:rPr>
          <w:rFonts w:hint="eastAsia" w:ascii="宋体" w:hAnsi="宋体" w:eastAsia="宋体" w:cs="宋体"/>
          <w:sz w:val="28"/>
          <w:szCs w:val="28"/>
        </w:rPr>
      </w:pPr>
      <w:r>
        <w:rPr>
          <w:rFonts w:hint="eastAsia" w:ascii="宋体" w:hAnsi="宋体" w:eastAsia="宋体" w:cs="宋体"/>
          <w:sz w:val="28"/>
          <w:szCs w:val="28"/>
        </w:rPr>
        <w:t>以上预算在2023年度全部执行完毕，预算执行率100%。详见下表：</w:t>
      </w:r>
    </w:p>
    <w:tbl>
      <w:tblPr>
        <w:tblStyle w:val="6"/>
        <w:tblW w:w="8910" w:type="dxa"/>
        <w:tblInd w:w="93" w:type="dxa"/>
        <w:tblLayout w:type="autofit"/>
        <w:tblCellMar>
          <w:top w:w="0" w:type="dxa"/>
          <w:left w:w="108" w:type="dxa"/>
          <w:bottom w:w="0" w:type="dxa"/>
          <w:right w:w="108" w:type="dxa"/>
        </w:tblCellMar>
      </w:tblPr>
      <w:tblGrid>
        <w:gridCol w:w="4005"/>
        <w:gridCol w:w="1755"/>
        <w:gridCol w:w="1755"/>
        <w:gridCol w:w="1395"/>
      </w:tblGrid>
      <w:tr w14:paraId="64A330A8">
        <w:tblPrEx>
          <w:tblCellMar>
            <w:top w:w="0" w:type="dxa"/>
            <w:left w:w="108" w:type="dxa"/>
            <w:bottom w:w="0" w:type="dxa"/>
            <w:right w:w="108" w:type="dxa"/>
          </w:tblCellMar>
        </w:tblPrEx>
        <w:trPr>
          <w:trHeight w:val="42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11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896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预算金额</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A9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执行数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A9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预算执行率</w:t>
            </w:r>
          </w:p>
        </w:tc>
      </w:tr>
      <w:tr w14:paraId="39E1D8EA">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B0C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北燃特检：改革过渡期政策保障经费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91D">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827.80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F658">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827.80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18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r>
      <w:tr w14:paraId="3BEBFE4C">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1C2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科研所公司：改革过渡期政策保障经费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158E">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2,342.18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C7A8">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2,342.18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B1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r>
      <w:tr w14:paraId="7E9326CE">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5C3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AD84">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3,169.98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A5B5">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3,169.98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FC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r>
    </w:tbl>
    <w:p w14:paraId="1D466CFC">
      <w:pPr>
        <w:rPr>
          <w:rFonts w:hint="eastAsia" w:ascii="仿宋" w:hAnsi="仿宋" w:eastAsia="仿宋"/>
          <w:sz w:val="28"/>
          <w:szCs w:val="28"/>
        </w:rPr>
      </w:pPr>
      <w:r>
        <w:rPr>
          <w:rFonts w:hint="eastAsia" w:ascii="仿宋" w:hAnsi="仿宋" w:eastAsia="仿宋"/>
          <w:sz w:val="28"/>
          <w:szCs w:val="28"/>
        </w:rPr>
        <w:t xml:space="preserve">    </w:t>
      </w:r>
    </w:p>
    <w:p w14:paraId="2CDCCFDB">
      <w:pPr>
        <w:rPr>
          <w:rFonts w:hint="eastAsia" w:ascii="宋体" w:hAnsi="宋体" w:eastAsia="宋体" w:cs="宋体"/>
          <w:sz w:val="28"/>
          <w:szCs w:val="28"/>
        </w:rPr>
      </w:pPr>
      <w:r>
        <w:rPr>
          <w:rFonts w:hint="eastAsia" w:ascii="宋体" w:hAnsi="宋体" w:eastAsia="宋体" w:cs="宋体"/>
          <w:sz w:val="28"/>
          <w:szCs w:val="28"/>
        </w:rPr>
        <w:t>四、</w:t>
      </w:r>
      <w:r>
        <w:rPr>
          <w:rFonts w:ascii="宋体" w:hAnsi="宋体" w:eastAsia="宋体" w:cs="宋体"/>
          <w:sz w:val="28"/>
          <w:szCs w:val="28"/>
        </w:rPr>
        <w:t>整体绩效目标实现情况</w:t>
      </w:r>
    </w:p>
    <w:p w14:paraId="36B98140">
      <w:pPr>
        <w:ind w:firstLine="560"/>
        <w:rPr>
          <w:rFonts w:hint="eastAsia" w:ascii="宋体" w:hAnsi="宋体" w:eastAsia="宋体" w:cs="宋体"/>
          <w:sz w:val="28"/>
          <w:szCs w:val="28"/>
        </w:rPr>
      </w:pPr>
      <w:r>
        <w:rPr>
          <w:rFonts w:hint="eastAsia" w:ascii="宋体" w:hAnsi="宋体" w:eastAsia="宋体" w:cs="宋体"/>
          <w:sz w:val="28"/>
          <w:szCs w:val="28"/>
        </w:rPr>
        <w:t>1、本部门2023年预算执行率为100%</w:t>
      </w:r>
    </w:p>
    <w:p w14:paraId="771451CD">
      <w:pPr>
        <w:ind w:firstLine="560"/>
        <w:rPr>
          <w:rFonts w:hint="eastAsia" w:ascii="宋体" w:hAnsi="宋体" w:eastAsia="宋体" w:cs="宋体"/>
          <w:sz w:val="28"/>
          <w:szCs w:val="28"/>
        </w:rPr>
      </w:pPr>
      <w:r>
        <w:rPr>
          <w:rFonts w:hint="eastAsia" w:ascii="宋体" w:hAnsi="宋体" w:eastAsia="宋体" w:cs="宋体"/>
          <w:sz w:val="28"/>
          <w:szCs w:val="28"/>
        </w:rPr>
        <w:t>2、本部门完成了保证改革过渡期平稳过渡的绩效目标。</w:t>
      </w:r>
    </w:p>
    <w:p w14:paraId="4A3746E2">
      <w:pPr>
        <w:pStyle w:val="2"/>
        <w:ind w:firstLine="560"/>
      </w:pPr>
      <w:r>
        <w:rPr>
          <w:rFonts w:hint="eastAsia" w:hAnsi="宋体" w:cs="宋体"/>
          <w:kern w:val="2"/>
          <w:sz w:val="28"/>
          <w:szCs w:val="28"/>
        </w:rPr>
        <w:t>3、本部门预算管理符合预定要求。</w:t>
      </w:r>
    </w:p>
    <w:p w14:paraId="1F9C26B9">
      <w:pPr>
        <w:rPr>
          <w:rFonts w:hint="eastAsia" w:ascii="宋体" w:hAnsi="宋体" w:eastAsia="宋体" w:cs="宋体"/>
          <w:sz w:val="28"/>
          <w:szCs w:val="28"/>
        </w:rPr>
      </w:pPr>
    </w:p>
    <w:p w14:paraId="6CCE7EFC">
      <w:pPr>
        <w:rPr>
          <w:rFonts w:hint="eastAsia" w:ascii="宋体" w:hAnsi="宋体" w:eastAsia="宋体" w:cs="宋体"/>
          <w:sz w:val="28"/>
          <w:szCs w:val="28"/>
        </w:rPr>
      </w:pPr>
      <w:r>
        <w:rPr>
          <w:rFonts w:hint="eastAsia" w:ascii="宋体" w:hAnsi="宋体" w:eastAsia="宋体" w:cs="宋体"/>
          <w:sz w:val="28"/>
          <w:szCs w:val="28"/>
        </w:rPr>
        <w:t>五、预算管理情况分析</w:t>
      </w:r>
    </w:p>
    <w:p w14:paraId="66D8C3DD">
      <w:pPr>
        <w:ind w:firstLine="560"/>
        <w:rPr>
          <w:rFonts w:hint="eastAsia" w:ascii="宋体" w:hAnsi="宋体" w:eastAsia="宋体" w:cs="宋体"/>
          <w:sz w:val="28"/>
          <w:szCs w:val="28"/>
        </w:rPr>
      </w:pPr>
      <w:r>
        <w:rPr>
          <w:rFonts w:hint="eastAsia" w:ascii="宋体" w:hAnsi="宋体" w:eastAsia="宋体" w:cs="宋体"/>
          <w:sz w:val="28"/>
          <w:szCs w:val="28"/>
        </w:rPr>
        <w:t>1、财务管理</w:t>
      </w:r>
    </w:p>
    <w:p w14:paraId="5919929F">
      <w:pPr>
        <w:ind w:firstLine="560"/>
        <w:rPr>
          <w:rFonts w:hint="eastAsia"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财务管理制度健全性</w:t>
      </w:r>
    </w:p>
    <w:p w14:paraId="11220398">
      <w:pPr>
        <w:ind w:firstLine="560"/>
        <w:rPr>
          <w:rFonts w:hint="eastAsia" w:ascii="宋体" w:hAnsi="宋体" w:eastAsia="宋体" w:cs="宋体"/>
          <w:sz w:val="28"/>
          <w:szCs w:val="28"/>
        </w:rPr>
      </w:pPr>
      <w:r>
        <w:rPr>
          <w:rFonts w:ascii="宋体" w:hAnsi="宋体" w:eastAsia="宋体" w:cs="宋体"/>
          <w:sz w:val="28"/>
          <w:szCs w:val="28"/>
        </w:rPr>
        <w:t>为进一步提高财务管理能力和水平，提高财政资金使用效益，</w:t>
      </w:r>
      <w:r>
        <w:rPr>
          <w:rFonts w:hint="eastAsia" w:ascii="宋体" w:hAnsi="宋体" w:eastAsia="宋体" w:cs="宋体"/>
          <w:sz w:val="28"/>
          <w:szCs w:val="28"/>
        </w:rPr>
        <w:t>本部门依据相关规定</w:t>
      </w:r>
      <w:r>
        <w:rPr>
          <w:rFonts w:ascii="宋体" w:hAnsi="宋体" w:eastAsia="宋体" w:cs="宋体"/>
          <w:sz w:val="28"/>
          <w:szCs w:val="28"/>
        </w:rPr>
        <w:t>，建立了完善的财务管理制度体系，保障了日常工作有章可循、稳步推进。</w:t>
      </w:r>
    </w:p>
    <w:p w14:paraId="3EC4112C">
      <w:pPr>
        <w:ind w:firstLine="560"/>
        <w:rPr>
          <w:rFonts w:hint="eastAsia"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w:t>
      </w:r>
      <w:r>
        <w:rPr>
          <w:rFonts w:ascii="宋体" w:hAnsi="宋体" w:eastAsia="宋体" w:cs="宋体"/>
          <w:sz w:val="28"/>
          <w:szCs w:val="28"/>
        </w:rPr>
        <w:t>资金使用合规性和安全性</w:t>
      </w:r>
    </w:p>
    <w:p w14:paraId="64A1C6C1">
      <w:pPr>
        <w:ind w:firstLine="560"/>
        <w:rPr>
          <w:rFonts w:hint="eastAsia" w:ascii="宋体" w:hAnsi="宋体" w:eastAsia="宋体" w:cs="宋体"/>
          <w:sz w:val="28"/>
          <w:szCs w:val="28"/>
        </w:rPr>
      </w:pPr>
      <w:r>
        <w:rPr>
          <w:rFonts w:ascii="宋体" w:hAnsi="宋体" w:eastAsia="宋体" w:cs="宋体"/>
          <w:sz w:val="28"/>
          <w:szCs w:val="28"/>
        </w:rPr>
        <w:t>资金使用严格遵照国家法律法规和有关管理制度执行，资金拨付审批程序完整规范，资金使用安全合规。内部审计和监督机制完善，审计监督全面、纵深发展，为资金高效安全的使用保驾护航。</w:t>
      </w:r>
    </w:p>
    <w:p w14:paraId="1623FBAE">
      <w:pPr>
        <w:ind w:firstLine="560"/>
        <w:rPr>
          <w:rFonts w:hint="eastAsia"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w:t>
      </w:r>
      <w:r>
        <w:rPr>
          <w:rFonts w:ascii="宋体" w:hAnsi="宋体" w:eastAsia="宋体" w:cs="宋体"/>
          <w:sz w:val="28"/>
          <w:szCs w:val="28"/>
        </w:rPr>
        <w:t>会计基础信息完善性</w:t>
      </w:r>
    </w:p>
    <w:p w14:paraId="144EA0E4">
      <w:pPr>
        <w:ind w:firstLine="560"/>
        <w:rPr>
          <w:rFonts w:hint="eastAsia" w:ascii="宋体" w:hAnsi="宋体" w:eastAsia="宋体" w:cs="宋体"/>
          <w:sz w:val="28"/>
          <w:szCs w:val="28"/>
        </w:rPr>
      </w:pPr>
      <w:r>
        <w:rPr>
          <w:rFonts w:ascii="宋体" w:hAnsi="宋体" w:eastAsia="宋体" w:cs="宋体"/>
          <w:sz w:val="28"/>
          <w:szCs w:val="28"/>
        </w:rPr>
        <w:t>在费用报销及合同付款过程中，严格审核原始凭证，确保了会计基础信息真实、准确、完整。</w:t>
      </w:r>
    </w:p>
    <w:p w14:paraId="4CBC424B">
      <w:pPr>
        <w:ind w:firstLine="560"/>
        <w:rPr>
          <w:rFonts w:hint="eastAsia"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资产管理</w:t>
      </w:r>
    </w:p>
    <w:p w14:paraId="45C4DA18">
      <w:pPr>
        <w:ind w:firstLine="560"/>
        <w:rPr>
          <w:rFonts w:hint="eastAsia" w:ascii="宋体" w:hAnsi="宋体" w:eastAsia="宋体" w:cs="宋体"/>
          <w:sz w:val="28"/>
          <w:szCs w:val="28"/>
        </w:rPr>
      </w:pPr>
      <w:r>
        <w:rPr>
          <w:rFonts w:ascii="宋体" w:hAnsi="宋体" w:eastAsia="宋体" w:cs="宋体"/>
          <w:sz w:val="28"/>
          <w:szCs w:val="28"/>
        </w:rPr>
        <w:t>为进一步提升资产管理水平，</w:t>
      </w:r>
      <w:r>
        <w:rPr>
          <w:rFonts w:hint="eastAsia" w:ascii="宋体" w:hAnsi="宋体" w:eastAsia="宋体" w:cs="宋体"/>
          <w:sz w:val="28"/>
          <w:szCs w:val="28"/>
        </w:rPr>
        <w:t>本部门制定了各种资产管理</w:t>
      </w:r>
      <w:r>
        <w:rPr>
          <w:rFonts w:ascii="宋体" w:hAnsi="宋体" w:eastAsia="宋体" w:cs="宋体"/>
          <w:sz w:val="28"/>
          <w:szCs w:val="28"/>
        </w:rPr>
        <w:t>制度，细化了具体工作程序和标准；同时建立了资产与预算管理相结合的工作运行机制，编制资产购置指南，强化资产购置预算管理能力。</w:t>
      </w:r>
    </w:p>
    <w:p w14:paraId="7FDDD9E2">
      <w:pPr>
        <w:ind w:firstLine="560"/>
        <w:rPr>
          <w:rFonts w:hint="eastAsia"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绩效管理</w:t>
      </w:r>
    </w:p>
    <w:p w14:paraId="0E1CC635">
      <w:pPr>
        <w:ind w:firstLine="560"/>
        <w:rPr>
          <w:rFonts w:hint="eastAsia" w:ascii="宋体" w:hAnsi="宋体" w:eastAsia="宋体" w:cs="宋体"/>
          <w:sz w:val="28"/>
          <w:szCs w:val="28"/>
        </w:rPr>
      </w:pPr>
      <w:r>
        <w:rPr>
          <w:rFonts w:hint="eastAsia" w:ascii="宋体" w:hAnsi="宋体" w:eastAsia="宋体" w:cs="宋体"/>
          <w:sz w:val="28"/>
          <w:szCs w:val="28"/>
        </w:rPr>
        <w:t>本部门</w:t>
      </w:r>
      <w:r>
        <w:rPr>
          <w:rFonts w:ascii="宋体" w:hAnsi="宋体" w:eastAsia="宋体" w:cs="宋体"/>
          <w:sz w:val="28"/>
          <w:szCs w:val="28"/>
        </w:rPr>
        <w:t>将绩效理念深度融入预算编制、执行和监督全过程，构建事前、事中、事后绩效管理闭环系统，创新预算管理方式，扎实做好各项绩效管理工作。在《市级部门预算编报指南》的指导下，</w:t>
      </w:r>
      <w:r>
        <w:rPr>
          <w:rFonts w:hint="eastAsia" w:ascii="宋体" w:hAnsi="宋体" w:eastAsia="宋体" w:cs="宋体"/>
          <w:sz w:val="28"/>
          <w:szCs w:val="28"/>
        </w:rPr>
        <w:t>本部门</w:t>
      </w:r>
      <w:r>
        <w:rPr>
          <w:rFonts w:ascii="宋体" w:hAnsi="宋体" w:eastAsia="宋体" w:cs="宋体"/>
          <w:sz w:val="28"/>
          <w:szCs w:val="28"/>
        </w:rPr>
        <w:t>开展绩效目标编制、事中绩效监控及事后自评等工作，统筹预算绩效管理工作的全流程。</w:t>
      </w:r>
    </w:p>
    <w:p w14:paraId="71B8FC7F">
      <w:pPr>
        <w:numPr>
          <w:ilvl w:val="0"/>
          <w:numId w:val="1"/>
        </w:numPr>
        <w:ind w:firstLine="560"/>
        <w:rPr>
          <w:rFonts w:hint="eastAsia" w:ascii="宋体" w:hAnsi="宋体" w:eastAsia="宋体" w:cs="宋体"/>
          <w:sz w:val="28"/>
          <w:szCs w:val="28"/>
        </w:rPr>
      </w:pPr>
      <w:r>
        <w:rPr>
          <w:rFonts w:hint="eastAsia" w:ascii="宋体" w:hAnsi="宋体" w:eastAsia="宋体" w:cs="宋体"/>
          <w:sz w:val="28"/>
          <w:szCs w:val="28"/>
        </w:rPr>
        <w:t>结转结余率</w:t>
      </w:r>
    </w:p>
    <w:p w14:paraId="1A9419B7">
      <w:pPr>
        <w:ind w:firstLine="560"/>
        <w:rPr>
          <w:rFonts w:hint="eastAsia" w:ascii="宋体" w:hAnsi="宋体" w:eastAsia="宋体" w:cs="宋体"/>
          <w:sz w:val="28"/>
          <w:szCs w:val="28"/>
        </w:rPr>
      </w:pPr>
      <w:r>
        <w:rPr>
          <w:rFonts w:hint="eastAsia" w:ascii="宋体" w:hAnsi="宋体" w:eastAsia="宋体" w:cs="宋体"/>
          <w:sz w:val="28"/>
          <w:szCs w:val="28"/>
        </w:rPr>
        <w:t>本部门2023年预算全部执行完毕，无结转结存。</w:t>
      </w:r>
    </w:p>
    <w:p w14:paraId="674C764E">
      <w:pPr>
        <w:numPr>
          <w:ilvl w:val="0"/>
          <w:numId w:val="1"/>
        </w:numPr>
        <w:ind w:firstLine="560"/>
        <w:rPr>
          <w:rFonts w:hint="eastAsia" w:ascii="宋体" w:hAnsi="宋体" w:eastAsia="宋体" w:cs="宋体"/>
          <w:sz w:val="28"/>
          <w:szCs w:val="28"/>
        </w:rPr>
      </w:pPr>
      <w:r>
        <w:rPr>
          <w:rFonts w:ascii="宋体" w:hAnsi="宋体" w:eastAsia="宋体" w:cs="宋体"/>
          <w:sz w:val="28"/>
          <w:szCs w:val="28"/>
        </w:rPr>
        <w:t>部门预决算差异率</w:t>
      </w:r>
    </w:p>
    <w:p w14:paraId="23061235">
      <w:pPr>
        <w:ind w:left="560"/>
        <w:rPr>
          <w:rFonts w:hint="eastAsia" w:ascii="宋体" w:hAnsi="宋体" w:eastAsia="宋体" w:cs="宋体"/>
          <w:sz w:val="28"/>
          <w:szCs w:val="28"/>
        </w:rPr>
      </w:pPr>
      <w:r>
        <w:rPr>
          <w:rFonts w:hint="eastAsia" w:ascii="宋体" w:hAnsi="宋体" w:eastAsia="宋体" w:cs="宋体"/>
          <w:sz w:val="28"/>
          <w:szCs w:val="28"/>
        </w:rPr>
        <w:t>本部门2023年预决算金额一致，无差异率。</w:t>
      </w:r>
    </w:p>
    <w:p w14:paraId="3FB23881">
      <w:pPr>
        <w:pStyle w:val="2"/>
        <w:ind w:firstLine="480"/>
      </w:pPr>
    </w:p>
    <w:p w14:paraId="1373976B">
      <w:pPr>
        <w:numPr>
          <w:ilvl w:val="0"/>
          <w:numId w:val="2"/>
        </w:numPr>
        <w:rPr>
          <w:rFonts w:hint="eastAsia" w:ascii="宋体" w:hAnsi="宋体" w:eastAsia="宋体" w:cs="宋体"/>
          <w:sz w:val="28"/>
          <w:szCs w:val="28"/>
        </w:rPr>
      </w:pPr>
      <w:r>
        <w:rPr>
          <w:rFonts w:hint="eastAsia" w:ascii="宋体" w:hAnsi="宋体" w:eastAsia="宋体" w:cs="宋体"/>
          <w:sz w:val="28"/>
          <w:szCs w:val="28"/>
        </w:rPr>
        <w:t>总体评价结论</w:t>
      </w:r>
    </w:p>
    <w:p w14:paraId="790C39DD">
      <w:pPr>
        <w:numPr>
          <w:ilvl w:val="0"/>
          <w:numId w:val="3"/>
        </w:numPr>
        <w:rPr>
          <w:rFonts w:hint="eastAsia" w:ascii="宋体" w:hAnsi="宋体" w:eastAsia="宋体" w:cs="宋体"/>
          <w:sz w:val="28"/>
          <w:szCs w:val="28"/>
        </w:rPr>
      </w:pPr>
      <w:r>
        <w:rPr>
          <w:rFonts w:hint="eastAsia" w:ascii="宋体" w:hAnsi="宋体" w:eastAsia="宋体" w:cs="宋体"/>
          <w:sz w:val="28"/>
          <w:szCs w:val="28"/>
        </w:rPr>
        <w:t>评价得分情况</w:t>
      </w:r>
    </w:p>
    <w:p w14:paraId="1A60BCCE">
      <w:pPr>
        <w:ind w:left="560"/>
        <w:rPr>
          <w:rFonts w:hint="eastAsia" w:ascii="宋体" w:hAnsi="宋体" w:eastAsia="宋体" w:cs="宋体"/>
          <w:sz w:val="28"/>
          <w:szCs w:val="28"/>
        </w:rPr>
      </w:pPr>
      <w:r>
        <w:rPr>
          <w:rFonts w:hint="eastAsia" w:ascii="宋体" w:hAnsi="宋体" w:eastAsia="宋体" w:cs="宋体"/>
          <w:sz w:val="28"/>
          <w:szCs w:val="28"/>
        </w:rPr>
        <w:t>本部门对</w:t>
      </w:r>
      <w:r>
        <w:rPr>
          <w:rFonts w:ascii="宋体" w:hAnsi="宋体" w:eastAsia="宋体" w:cs="宋体"/>
          <w:sz w:val="28"/>
          <w:szCs w:val="28"/>
        </w:rPr>
        <w:t>部门整体绩效评价开展了全面、系统、客观的分析评价，</w:t>
      </w:r>
    </w:p>
    <w:p w14:paraId="59768F57">
      <w:pPr>
        <w:rPr>
          <w:rFonts w:hint="eastAsia" w:ascii="宋体" w:hAnsi="宋体" w:eastAsia="宋体" w:cs="宋体"/>
          <w:sz w:val="28"/>
          <w:szCs w:val="28"/>
        </w:rPr>
      </w:pPr>
      <w:r>
        <w:rPr>
          <w:rFonts w:ascii="宋体" w:hAnsi="宋体" w:eastAsia="宋体" w:cs="宋体"/>
          <w:sz w:val="28"/>
          <w:szCs w:val="28"/>
        </w:rPr>
        <w:t>最终得分</w:t>
      </w:r>
      <w:r>
        <w:rPr>
          <w:rFonts w:hint="eastAsia" w:ascii="宋体" w:hAnsi="宋体" w:eastAsia="宋体" w:cs="宋体"/>
          <w:sz w:val="28"/>
          <w:szCs w:val="28"/>
        </w:rPr>
        <w:t>100.</w:t>
      </w:r>
      <w:r>
        <w:rPr>
          <w:rFonts w:ascii="宋体" w:hAnsi="宋体" w:eastAsia="宋体" w:cs="宋体"/>
          <w:sz w:val="28"/>
          <w:szCs w:val="28"/>
        </w:rPr>
        <w:t>分。其中当年预算执行情况</w:t>
      </w:r>
      <w:r>
        <w:rPr>
          <w:rFonts w:hint="eastAsia" w:ascii="宋体" w:hAnsi="宋体" w:eastAsia="宋体" w:cs="宋体"/>
          <w:sz w:val="28"/>
          <w:szCs w:val="28"/>
        </w:rPr>
        <w:t>20</w:t>
      </w:r>
      <w:r>
        <w:rPr>
          <w:rFonts w:ascii="宋体" w:hAnsi="宋体" w:eastAsia="宋体" w:cs="宋体"/>
          <w:sz w:val="28"/>
          <w:szCs w:val="28"/>
        </w:rPr>
        <w:t>分，整体绩效目标实现情况</w:t>
      </w:r>
      <w:r>
        <w:rPr>
          <w:rFonts w:hint="eastAsia" w:ascii="宋体" w:hAnsi="宋体" w:eastAsia="宋体" w:cs="宋体"/>
          <w:sz w:val="28"/>
          <w:szCs w:val="28"/>
        </w:rPr>
        <w:t>60</w:t>
      </w:r>
      <w:r>
        <w:rPr>
          <w:rFonts w:ascii="宋体" w:hAnsi="宋体" w:eastAsia="宋体" w:cs="宋体"/>
          <w:sz w:val="28"/>
          <w:szCs w:val="28"/>
        </w:rPr>
        <w:t>分，预算管理情况20分</w:t>
      </w:r>
      <w:r>
        <w:rPr>
          <w:rFonts w:hint="eastAsia" w:ascii="宋体" w:hAnsi="宋体" w:eastAsia="宋体" w:cs="宋体"/>
          <w:sz w:val="28"/>
          <w:szCs w:val="28"/>
        </w:rPr>
        <w:t>。详见下表。</w:t>
      </w:r>
    </w:p>
    <w:tbl>
      <w:tblPr>
        <w:tblStyle w:val="6"/>
        <w:tblW w:w="8619" w:type="dxa"/>
        <w:jc w:val="center"/>
        <w:tblLayout w:type="autofit"/>
        <w:tblCellMar>
          <w:top w:w="0" w:type="dxa"/>
          <w:left w:w="108" w:type="dxa"/>
          <w:bottom w:w="0" w:type="dxa"/>
          <w:right w:w="108" w:type="dxa"/>
        </w:tblCellMar>
      </w:tblPr>
      <w:tblGrid>
        <w:gridCol w:w="3247"/>
        <w:gridCol w:w="2477"/>
        <w:gridCol w:w="2895"/>
      </w:tblGrid>
      <w:tr w14:paraId="37033310">
        <w:tblPrEx>
          <w:tblCellMar>
            <w:top w:w="0" w:type="dxa"/>
            <w:left w:w="108" w:type="dxa"/>
            <w:bottom w:w="0" w:type="dxa"/>
            <w:right w:w="108" w:type="dxa"/>
          </w:tblCellMar>
        </w:tblPrEx>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F8F6">
            <w:pPr>
              <w:widowControl/>
              <w:spacing w:line="360" w:lineRule="auto"/>
              <w:jc w:val="center"/>
              <w:textAlignment w:val="center"/>
              <w:rPr>
                <w:rFonts w:ascii="Times New Roman Regular" w:hAnsi="Times New Roman Regular" w:eastAsia="宋体" w:cs="Times New Roman Regular"/>
                <w:b/>
                <w:bCs/>
                <w:color w:val="000000"/>
                <w:sz w:val="22"/>
                <w:szCs w:val="22"/>
              </w:rPr>
            </w:pPr>
            <w:r>
              <w:rPr>
                <w:rFonts w:ascii="Times New Roman Regular" w:hAnsi="Times New Roman Regular" w:eastAsia="宋体" w:cs="Times New Roman Regular"/>
                <w:b/>
                <w:bCs/>
                <w:color w:val="000000"/>
                <w:kern w:val="0"/>
                <w:sz w:val="22"/>
                <w:szCs w:val="22"/>
                <w:lang w:bidi="ar"/>
              </w:rPr>
              <w:t>一级指标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A052">
            <w:pPr>
              <w:widowControl/>
              <w:spacing w:line="360" w:lineRule="auto"/>
              <w:jc w:val="center"/>
              <w:textAlignment w:val="center"/>
              <w:rPr>
                <w:rFonts w:ascii="Times New Roman Regular" w:hAnsi="Times New Roman Regular" w:eastAsia="宋体" w:cs="Times New Roman Regular"/>
                <w:b/>
                <w:bCs/>
                <w:color w:val="000000"/>
                <w:sz w:val="22"/>
                <w:szCs w:val="22"/>
              </w:rPr>
            </w:pPr>
            <w:r>
              <w:rPr>
                <w:rFonts w:ascii="Times New Roman Regular" w:hAnsi="Times New Roman Regular" w:eastAsia="宋体" w:cs="Times New Roman Regular"/>
                <w:b/>
                <w:bCs/>
                <w:color w:val="000000"/>
                <w:kern w:val="0"/>
                <w:sz w:val="22"/>
                <w:szCs w:val="22"/>
                <w:lang w:bidi="ar"/>
              </w:rPr>
              <w:t>分值</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62B4">
            <w:pPr>
              <w:widowControl/>
              <w:spacing w:line="360" w:lineRule="auto"/>
              <w:jc w:val="center"/>
              <w:textAlignment w:val="center"/>
              <w:rPr>
                <w:rFonts w:ascii="Times New Roman Regular" w:hAnsi="Times New Roman Regular" w:eastAsia="宋体" w:cs="Times New Roman Regular"/>
                <w:b/>
                <w:bCs/>
                <w:color w:val="000000"/>
                <w:sz w:val="22"/>
                <w:szCs w:val="22"/>
              </w:rPr>
            </w:pPr>
            <w:r>
              <w:rPr>
                <w:rFonts w:ascii="Times New Roman Regular" w:hAnsi="Times New Roman Regular" w:eastAsia="宋体" w:cs="Times New Roman Regular"/>
                <w:b/>
                <w:bCs/>
                <w:color w:val="000000"/>
                <w:kern w:val="0"/>
                <w:sz w:val="22"/>
                <w:szCs w:val="22"/>
                <w:lang w:bidi="ar"/>
              </w:rPr>
              <w:t>得分</w:t>
            </w:r>
          </w:p>
        </w:tc>
      </w:tr>
      <w:tr w14:paraId="50BF96E3">
        <w:tblPrEx>
          <w:tblCellMar>
            <w:top w:w="0" w:type="dxa"/>
            <w:left w:w="108" w:type="dxa"/>
            <w:bottom w:w="0" w:type="dxa"/>
            <w:right w:w="108" w:type="dxa"/>
          </w:tblCellMar>
        </w:tblPrEx>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49EC">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eastAsia="宋体" w:cs="Times New Roman Regular"/>
                <w:color w:val="000000"/>
                <w:kern w:val="0"/>
                <w:sz w:val="22"/>
                <w:szCs w:val="22"/>
                <w:lang w:bidi="ar"/>
              </w:rPr>
              <w:t>当年预算执行情况</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B5B6">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eastAsia="宋体" w:cs="Times New Roman Regular"/>
                <w:color w:val="000000"/>
                <w:kern w:val="0"/>
                <w:sz w:val="22"/>
                <w:szCs w:val="22"/>
                <w:lang w:bidi="ar"/>
              </w:rPr>
              <w:t>20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F4FB">
            <w:pPr>
              <w:widowControl/>
              <w:spacing w:line="360" w:lineRule="auto"/>
              <w:jc w:val="center"/>
              <w:textAlignment w:val="center"/>
              <w:rPr>
                <w:rFonts w:ascii="Times New Roman Regular" w:hAnsi="Times New Roman Regular" w:eastAsia="宋体" w:cs="Times New Roman Regular"/>
                <w:color w:val="000000"/>
                <w:sz w:val="22"/>
                <w:szCs w:val="22"/>
              </w:rPr>
            </w:pPr>
            <w:r>
              <w:rPr>
                <w:rFonts w:hint="eastAsia" w:ascii="Times New Roman Regular" w:hAnsi="Times New Roman Regular" w:eastAsia="宋体" w:cs="Times New Roman Regular"/>
                <w:color w:val="000000"/>
                <w:kern w:val="0"/>
                <w:sz w:val="22"/>
                <w:szCs w:val="22"/>
                <w:lang w:bidi="ar"/>
              </w:rPr>
              <w:t>20</w:t>
            </w:r>
          </w:p>
        </w:tc>
      </w:tr>
      <w:tr w14:paraId="52ED9A55">
        <w:tblPrEx>
          <w:tblCellMar>
            <w:top w:w="0" w:type="dxa"/>
            <w:left w:w="108" w:type="dxa"/>
            <w:bottom w:w="0" w:type="dxa"/>
            <w:right w:w="108" w:type="dxa"/>
          </w:tblCellMar>
        </w:tblPrEx>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D9B8">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eastAsia="宋体" w:cs="Times New Roman Regular"/>
                <w:color w:val="000000"/>
                <w:kern w:val="0"/>
                <w:sz w:val="22"/>
                <w:szCs w:val="22"/>
                <w:lang w:bidi="ar"/>
              </w:rPr>
              <w:t>整体绩效目标实现情况</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2DCA">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eastAsia="宋体" w:cs="Times New Roman Regular"/>
                <w:color w:val="000000"/>
                <w:kern w:val="0"/>
                <w:sz w:val="22"/>
                <w:szCs w:val="22"/>
                <w:lang w:bidi="ar"/>
              </w:rPr>
              <w:t>60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BDB6">
            <w:pPr>
              <w:widowControl/>
              <w:spacing w:line="360" w:lineRule="auto"/>
              <w:jc w:val="center"/>
              <w:textAlignment w:val="center"/>
              <w:rPr>
                <w:rFonts w:ascii="Times New Roman Regular" w:hAnsi="Times New Roman Regular" w:eastAsia="宋体" w:cs="Times New Roman Regular"/>
                <w:color w:val="000000"/>
                <w:sz w:val="22"/>
                <w:szCs w:val="22"/>
              </w:rPr>
            </w:pPr>
            <w:r>
              <w:rPr>
                <w:rFonts w:hint="eastAsia" w:ascii="Times New Roman Regular" w:hAnsi="Times New Roman Regular" w:eastAsia="宋体" w:cs="Times New Roman Regular"/>
                <w:color w:val="000000"/>
                <w:sz w:val="22"/>
                <w:szCs w:val="22"/>
              </w:rPr>
              <w:t>60</w:t>
            </w:r>
          </w:p>
        </w:tc>
      </w:tr>
      <w:tr w14:paraId="110FAB37">
        <w:tblPrEx>
          <w:tblCellMar>
            <w:top w:w="0" w:type="dxa"/>
            <w:left w:w="108" w:type="dxa"/>
            <w:bottom w:w="0" w:type="dxa"/>
            <w:right w:w="108" w:type="dxa"/>
          </w:tblCellMar>
        </w:tblPrEx>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57EB">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eastAsia="宋体" w:cs="Times New Roman Regular"/>
                <w:color w:val="000000"/>
                <w:kern w:val="0"/>
                <w:sz w:val="22"/>
                <w:szCs w:val="22"/>
                <w:lang w:bidi="ar"/>
              </w:rPr>
              <w:t>预算管理情况</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1949">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eastAsia="宋体" w:cs="Times New Roman Regular"/>
                <w:color w:val="000000"/>
                <w:kern w:val="0"/>
                <w:sz w:val="22"/>
                <w:szCs w:val="22"/>
                <w:lang w:bidi="ar"/>
              </w:rPr>
              <w:t>20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E91">
            <w:pPr>
              <w:widowControl/>
              <w:spacing w:line="360" w:lineRule="auto"/>
              <w:jc w:val="center"/>
              <w:textAlignment w:val="center"/>
              <w:rPr>
                <w:rFonts w:ascii="Times New Roman Regular" w:hAnsi="Times New Roman Regular" w:eastAsia="宋体" w:cs="Times New Roman Regular"/>
                <w:color w:val="000000"/>
                <w:sz w:val="22"/>
                <w:szCs w:val="22"/>
              </w:rPr>
            </w:pPr>
            <w:r>
              <w:rPr>
                <w:rFonts w:ascii="Times New Roman Regular" w:hAnsi="Times New Roman Regular" w:cs="Times New Roman Regular"/>
                <w:color w:val="000000"/>
                <w:kern w:val="0"/>
                <w:sz w:val="22"/>
                <w:szCs w:val="22"/>
                <w:lang w:bidi="ar"/>
              </w:rPr>
              <w:t>20</w:t>
            </w:r>
          </w:p>
        </w:tc>
      </w:tr>
      <w:tr w14:paraId="40A179BA">
        <w:tblPrEx>
          <w:tblCellMar>
            <w:top w:w="0" w:type="dxa"/>
            <w:left w:w="108" w:type="dxa"/>
            <w:bottom w:w="0" w:type="dxa"/>
            <w:right w:w="108" w:type="dxa"/>
          </w:tblCellMar>
        </w:tblPrEx>
        <w:trPr>
          <w:trHeight w:val="509"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748B">
            <w:pPr>
              <w:widowControl/>
              <w:spacing w:line="360" w:lineRule="auto"/>
              <w:jc w:val="center"/>
              <w:textAlignment w:val="center"/>
              <w:rPr>
                <w:rFonts w:ascii="Times New Roman Regular" w:hAnsi="Times New Roman Regular" w:eastAsia="宋体" w:cs="Times New Roman Regular"/>
                <w:b/>
                <w:bCs/>
                <w:color w:val="000000"/>
                <w:kern w:val="0"/>
                <w:sz w:val="22"/>
                <w:szCs w:val="22"/>
                <w:lang w:bidi="ar"/>
              </w:rPr>
            </w:pPr>
            <w:r>
              <w:rPr>
                <w:rFonts w:ascii="Times New Roman Regular" w:hAnsi="Times New Roman Regular" w:eastAsia="宋体" w:cs="Times New Roman Regular"/>
                <w:b/>
                <w:bCs/>
                <w:color w:val="000000"/>
                <w:kern w:val="0"/>
                <w:sz w:val="22"/>
                <w:szCs w:val="22"/>
                <w:lang w:bidi="ar"/>
              </w:rPr>
              <w:t>合计</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5E0">
            <w:pPr>
              <w:widowControl/>
              <w:spacing w:line="360" w:lineRule="auto"/>
              <w:jc w:val="center"/>
              <w:textAlignment w:val="center"/>
              <w:rPr>
                <w:rFonts w:ascii="Times New Roman Regular" w:hAnsi="Times New Roman Regular" w:eastAsia="宋体" w:cs="Times New Roman Regular"/>
                <w:b/>
                <w:bCs/>
                <w:color w:val="000000"/>
                <w:kern w:val="0"/>
                <w:sz w:val="22"/>
                <w:szCs w:val="22"/>
                <w:lang w:bidi="ar"/>
              </w:rPr>
            </w:pPr>
            <w:r>
              <w:rPr>
                <w:rFonts w:ascii="Times New Roman Regular" w:hAnsi="Times New Roman Regular" w:eastAsia="宋体" w:cs="Times New Roman Regular"/>
                <w:b/>
                <w:bCs/>
                <w:color w:val="000000"/>
                <w:kern w:val="0"/>
                <w:sz w:val="22"/>
                <w:szCs w:val="22"/>
                <w:lang w:bidi="ar"/>
              </w:rPr>
              <w:t>100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5429">
            <w:pPr>
              <w:widowControl/>
              <w:spacing w:line="360" w:lineRule="auto"/>
              <w:jc w:val="center"/>
              <w:textAlignment w:val="center"/>
              <w:rPr>
                <w:rFonts w:ascii="Times New Roman Regular" w:hAnsi="Times New Roman Regular" w:eastAsia="宋体" w:cs="Times New Roman Regular"/>
                <w:b/>
                <w:bCs/>
                <w:color w:val="000000"/>
                <w:kern w:val="0"/>
                <w:sz w:val="22"/>
                <w:szCs w:val="22"/>
                <w:lang w:bidi="ar"/>
              </w:rPr>
            </w:pPr>
            <w:r>
              <w:rPr>
                <w:rFonts w:hint="eastAsia" w:ascii="Times New Roman Regular" w:hAnsi="Times New Roman Regular" w:eastAsia="宋体" w:cs="Times New Roman Regular"/>
                <w:b/>
                <w:bCs/>
                <w:color w:val="000000"/>
                <w:kern w:val="0"/>
                <w:sz w:val="22"/>
                <w:szCs w:val="22"/>
                <w:lang w:bidi="ar"/>
              </w:rPr>
              <w:t>100</w:t>
            </w:r>
          </w:p>
        </w:tc>
      </w:tr>
    </w:tbl>
    <w:p w14:paraId="4B36CA22"/>
    <w:p w14:paraId="186FD3DD">
      <w:pPr>
        <w:pStyle w:val="2"/>
        <w:numPr>
          <w:ilvl w:val="0"/>
          <w:numId w:val="0"/>
        </w:numPr>
        <w:ind w:leftChars="200"/>
        <w:rPr>
          <w:rFonts w:hint="eastAsia" w:hAnsi="宋体" w:cs="宋体"/>
          <w:kern w:val="2"/>
          <w:sz w:val="28"/>
          <w:szCs w:val="28"/>
        </w:rPr>
      </w:pPr>
      <w:r>
        <w:rPr>
          <w:rFonts w:hint="eastAsia" w:hAnsi="宋体" w:cs="宋体"/>
          <w:kern w:val="2"/>
          <w:sz w:val="28"/>
          <w:szCs w:val="28"/>
          <w:lang w:val="en-US" w:eastAsia="zh-CN"/>
        </w:rPr>
        <w:t>2、</w:t>
      </w:r>
      <w:r>
        <w:rPr>
          <w:rFonts w:hint="eastAsia" w:hAnsi="宋体" w:cs="宋体"/>
          <w:kern w:val="2"/>
          <w:sz w:val="28"/>
          <w:szCs w:val="28"/>
        </w:rPr>
        <w:t>存在的问题及原因分析</w:t>
      </w:r>
    </w:p>
    <w:p w14:paraId="68E98775">
      <w:pPr>
        <w:ind w:firstLine="560" w:firstLineChars="200"/>
        <w:rPr>
          <w:rFonts w:hint="eastAsia" w:ascii="宋体" w:hAnsi="宋体" w:eastAsia="宋体" w:cs="宋体"/>
          <w:sz w:val="28"/>
          <w:szCs w:val="28"/>
        </w:rPr>
      </w:pPr>
      <w:r>
        <w:rPr>
          <w:rFonts w:hint="eastAsia" w:ascii="宋体" w:hAnsi="宋体" w:eastAsia="宋体" w:cs="宋体"/>
          <w:sz w:val="28"/>
          <w:szCs w:val="28"/>
        </w:rPr>
        <w:t>无</w:t>
      </w:r>
    </w:p>
    <w:p w14:paraId="179B551B">
      <w:pPr>
        <w:pStyle w:val="2"/>
        <w:ind w:firstLine="560"/>
        <w:rPr>
          <w:rFonts w:hint="eastAsia" w:hAnsi="宋体" w:cs="宋体"/>
          <w:kern w:val="2"/>
          <w:sz w:val="28"/>
          <w:szCs w:val="28"/>
        </w:rPr>
      </w:pPr>
    </w:p>
    <w:p w14:paraId="0CA97DB4">
      <w:pPr>
        <w:pStyle w:val="2"/>
        <w:ind w:left="0" w:leftChars="0" w:firstLine="0" w:firstLineChars="0"/>
        <w:rPr>
          <w:rFonts w:hint="eastAsia" w:hAnsi="宋体" w:cs="宋体"/>
          <w:kern w:val="2"/>
          <w:sz w:val="28"/>
          <w:szCs w:val="28"/>
        </w:rPr>
      </w:pPr>
      <w:r>
        <w:rPr>
          <w:rFonts w:hint="eastAsia" w:hAnsi="宋体" w:cs="宋体"/>
          <w:kern w:val="2"/>
          <w:sz w:val="28"/>
          <w:szCs w:val="28"/>
        </w:rPr>
        <w:t>七、</w:t>
      </w:r>
      <w:r>
        <w:rPr>
          <w:rFonts w:hAnsi="宋体" w:cs="宋体"/>
          <w:kern w:val="2"/>
          <w:sz w:val="28"/>
          <w:szCs w:val="28"/>
        </w:rPr>
        <w:t>措施建议</w:t>
      </w:r>
    </w:p>
    <w:p w14:paraId="384272AA">
      <w:pPr>
        <w:ind w:firstLine="560" w:firstLineChars="200"/>
        <w:rPr>
          <w:rFonts w:hint="eastAsia" w:ascii="宋体" w:hAnsi="宋体" w:eastAsia="宋体" w:cs="宋体"/>
          <w:sz w:val="28"/>
          <w:szCs w:val="28"/>
        </w:rPr>
      </w:pPr>
      <w:r>
        <w:rPr>
          <w:rFonts w:hint="eastAsia" w:ascii="宋体" w:hAnsi="宋体" w:eastAsia="宋体" w:cs="宋体"/>
          <w:sz w:val="28"/>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E3B77"/>
    <w:multiLevelType w:val="singleLevel"/>
    <w:tmpl w:val="9CCE3B77"/>
    <w:lvl w:ilvl="0" w:tentative="0">
      <w:start w:val="1"/>
      <w:numFmt w:val="decimal"/>
      <w:suff w:val="nothing"/>
      <w:lvlText w:val="%1、"/>
      <w:lvlJc w:val="left"/>
      <w:pPr>
        <w:ind w:left="560" w:firstLine="0"/>
      </w:pPr>
    </w:lvl>
  </w:abstractNum>
  <w:abstractNum w:abstractNumId="1">
    <w:nsid w:val="016477F8"/>
    <w:multiLevelType w:val="singleLevel"/>
    <w:tmpl w:val="016477F8"/>
    <w:lvl w:ilvl="0" w:tentative="0">
      <w:start w:val="6"/>
      <w:numFmt w:val="chineseCounting"/>
      <w:suff w:val="nothing"/>
      <w:lvlText w:val="%1、"/>
      <w:lvlJc w:val="left"/>
      <w:rPr>
        <w:rFonts w:hint="eastAsia"/>
      </w:rPr>
    </w:lvl>
  </w:abstractNum>
  <w:abstractNum w:abstractNumId="2">
    <w:nsid w:val="09ABE2CF"/>
    <w:multiLevelType w:val="singleLevel"/>
    <w:tmpl w:val="09ABE2CF"/>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MWY0MWY3ZDU0MWZjYjM1MTA0MjNlNmI2NTU5MDAifQ=="/>
  </w:docVars>
  <w:rsids>
    <w:rsidRoot w:val="00EC3090"/>
    <w:rsid w:val="003D2522"/>
    <w:rsid w:val="00AA4329"/>
    <w:rsid w:val="00EC3090"/>
    <w:rsid w:val="0F933B9D"/>
    <w:rsid w:val="19B14EF4"/>
    <w:rsid w:val="1CF96F94"/>
    <w:rsid w:val="1DF12E61"/>
    <w:rsid w:val="1E912BAE"/>
    <w:rsid w:val="25A277C4"/>
    <w:rsid w:val="2CB64630"/>
    <w:rsid w:val="2D6B2362"/>
    <w:rsid w:val="3E802EEA"/>
    <w:rsid w:val="4F4559E9"/>
    <w:rsid w:val="50C1163F"/>
    <w:rsid w:val="76EE3CCD"/>
    <w:rsid w:val="7AF5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Normal Indent"/>
    <w:basedOn w:val="1"/>
    <w:next w:val="1"/>
    <w:qFormat/>
    <w:uiPriority w:val="0"/>
    <w:pPr>
      <w:ind w:firstLine="200" w:firstLineChars="200"/>
    </w:pPr>
  </w:style>
  <w:style w:type="paragraph" w:styleId="4">
    <w:name w:val="annotation text"/>
    <w:basedOn w:val="1"/>
    <w:link w:val="9"/>
    <w:uiPriority w:val="0"/>
    <w:pPr>
      <w:jc w:val="left"/>
    </w:pPr>
  </w:style>
  <w:style w:type="paragraph" w:styleId="5">
    <w:name w:val="annotation subject"/>
    <w:basedOn w:val="4"/>
    <w:next w:val="4"/>
    <w:link w:val="10"/>
    <w:qFormat/>
    <w:uiPriority w:val="0"/>
    <w:rPr>
      <w:b/>
      <w:bCs/>
    </w:rPr>
  </w:style>
  <w:style w:type="character" w:styleId="8">
    <w:name w:val="annotation reference"/>
    <w:basedOn w:val="7"/>
    <w:uiPriority w:val="0"/>
    <w:rPr>
      <w:sz w:val="21"/>
      <w:szCs w:val="21"/>
    </w:rPr>
  </w:style>
  <w:style w:type="character" w:customStyle="1" w:styleId="9">
    <w:name w:val="批注文字 字符"/>
    <w:basedOn w:val="7"/>
    <w:link w:val="4"/>
    <w:qFormat/>
    <w:uiPriority w:val="0"/>
    <w:rPr>
      <w:rFonts w:asciiTheme="minorHAnsi" w:hAnsiTheme="minorHAnsi" w:eastAsiaTheme="minorEastAsia" w:cstheme="minorBidi"/>
      <w:kern w:val="2"/>
      <w:sz w:val="21"/>
      <w:szCs w:val="24"/>
    </w:rPr>
  </w:style>
  <w:style w:type="character" w:customStyle="1" w:styleId="10">
    <w:name w:val="批注主题 字符"/>
    <w:basedOn w:val="9"/>
    <w:link w:val="5"/>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1879</Words>
  <Characters>2024</Characters>
  <Lines>15</Lines>
  <Paragraphs>4</Paragraphs>
  <TotalTime>0</TotalTime>
  <ScaleCrop>false</ScaleCrop>
  <LinksUpToDate>false</LinksUpToDate>
  <CharactersWithSpaces>2041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2024-08-22T08:36:00Z</dcterms:created>
  <dc:creator>HP</dc:creator>
  <cp:lastModifiedBy>企业用户_1410004247</cp:lastModifiedBy>
  <dcterms:modified xsi:type="dcterms:W3CDTF">2024-08-23T01:47:40Z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F23F25412AD74A8F8C0367F836A5EFF5_12</vt:lpwstr>
  </property>
</Properties>
</file>