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2023年</w:t>
      </w:r>
      <w:r>
        <w:rPr>
          <w:rFonts w:hint="eastAsia" w:ascii="黑体" w:eastAsia="黑体"/>
          <w:sz w:val="32"/>
          <w:szCs w:val="32"/>
        </w:rPr>
        <w:t>度部门绩效评价情况</w:t>
      </w:r>
    </w:p>
    <w:p>
      <w:pPr>
        <w:pStyle w:val="2"/>
        <w:ind w:firstLine="0" w:firstLineChars="0"/>
      </w:pPr>
    </w:p>
    <w:p>
      <w:pPr>
        <w:rPr>
          <w:rFonts w:ascii="黑体" w:eastAsia="黑体"/>
          <w:sz w:val="28"/>
          <w:szCs w:val="28"/>
        </w:rPr>
      </w:pPr>
      <w:r>
        <w:rPr>
          <w:rFonts w:hint="eastAsia" w:ascii="黑体" w:eastAsia="黑体"/>
          <w:sz w:val="28"/>
          <w:szCs w:val="28"/>
        </w:rPr>
        <w:t>二、项目支出绩效评价报告</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（一）基本情况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1.项目背景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北京北燃实业集团有限公司所属2个部门预算单位分别为北京北燃特种设备检验检测有限公司（</w:t>
      </w:r>
      <w:r>
        <w:rPr>
          <w:rFonts w:hint="eastAsia" w:ascii="仿宋" w:hAnsi="仿宋" w:eastAsia="仿宋"/>
          <w:sz w:val="28"/>
          <w:szCs w:val="28"/>
          <w:lang w:val="en-US" w:eastAsia="zh-CN"/>
        </w:rPr>
        <w:t>以下</w:t>
      </w:r>
      <w:r>
        <w:rPr>
          <w:rFonts w:hint="eastAsia" w:ascii="仿宋" w:hAnsi="仿宋" w:eastAsia="仿宋"/>
          <w:sz w:val="28"/>
          <w:szCs w:val="28"/>
        </w:rPr>
        <w:t>简称北燃特检）。和北京市公用事业科学研究所有限公司有限公司（以下简称</w:t>
      </w:r>
      <w:r>
        <w:rPr>
          <w:rFonts w:hint="eastAsia" w:ascii="仿宋" w:hAnsi="仿宋" w:eastAsia="仿宋"/>
          <w:sz w:val="28"/>
          <w:szCs w:val="28"/>
          <w:lang w:eastAsia="zh-CN"/>
        </w:rPr>
        <w:t>科研所公司</w:t>
      </w:r>
      <w:bookmarkStart w:id="1" w:name="_GoBack"/>
      <w:bookmarkEnd w:id="1"/>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北京市关于从事生产经营活动事业单位改革的实施意见》、《中共北京市委机构编制委员会关于深化市属事业单位改革试点实施方案》、《深化市属事业单位改革试点实施方案》、《中共北京市机构编制委员会关于北京控股集团有限公司所属事业单位改革有关事项的批复》（京编委 (2021) 59号）等文件的要求，</w:t>
      </w:r>
      <w:r>
        <w:rPr>
          <w:rFonts w:hint="eastAsia" w:ascii="仿宋" w:hAnsi="仿宋" w:eastAsia="仿宋"/>
          <w:sz w:val="28"/>
          <w:szCs w:val="28"/>
          <w:lang w:eastAsia="zh-CN"/>
        </w:rPr>
        <w:t>科研所公司</w:t>
      </w:r>
      <w:r>
        <w:rPr>
          <w:rFonts w:hint="eastAsia" w:ascii="仿宋" w:hAnsi="仿宋" w:eastAsia="仿宋"/>
          <w:sz w:val="28"/>
          <w:szCs w:val="28"/>
        </w:rPr>
        <w:t>和</w:t>
      </w:r>
      <w:r>
        <w:rPr>
          <w:rFonts w:hint="eastAsia" w:ascii="仿宋" w:hAnsi="仿宋" w:eastAsia="仿宋"/>
          <w:sz w:val="28"/>
          <w:szCs w:val="28"/>
          <w:lang w:eastAsia="zh-CN"/>
        </w:rPr>
        <w:t>北燃特检</w:t>
      </w:r>
      <w:r>
        <w:rPr>
          <w:rFonts w:hint="eastAsia" w:ascii="仿宋" w:hAnsi="仿宋" w:eastAsia="仿宋"/>
          <w:sz w:val="28"/>
          <w:szCs w:val="28"/>
        </w:rPr>
        <w:t>进行转企改制，在此背景下，编制了</w:t>
      </w:r>
      <w:r>
        <w:rPr>
          <w:rFonts w:hint="eastAsia" w:ascii="仿宋" w:hAnsi="仿宋" w:eastAsia="仿宋"/>
          <w:sz w:val="28"/>
          <w:szCs w:val="28"/>
          <w:lang w:eastAsia="zh-CN"/>
        </w:rPr>
        <w:t>2023年</w:t>
      </w:r>
      <w:r>
        <w:rPr>
          <w:rFonts w:hint="eastAsia" w:ascii="仿宋" w:hAnsi="仿宋" w:eastAsia="仿宋"/>
          <w:sz w:val="28"/>
          <w:szCs w:val="28"/>
        </w:rPr>
        <w:t>项目支出预算。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主要内容：改革过渡期政策保障经费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资金投入：转企改制前三年基本经费平均数。经费总额为3169.98万元，其中</w:t>
      </w:r>
      <w:r>
        <w:rPr>
          <w:rFonts w:hint="eastAsia" w:ascii="仿宋" w:hAnsi="仿宋" w:eastAsia="仿宋"/>
          <w:sz w:val="28"/>
          <w:szCs w:val="28"/>
          <w:lang w:eastAsia="zh-CN"/>
        </w:rPr>
        <w:t>北燃特检</w:t>
      </w:r>
      <w:r>
        <w:rPr>
          <w:rFonts w:hint="eastAsia" w:ascii="仿宋" w:hAnsi="仿宋" w:eastAsia="仿宋"/>
          <w:sz w:val="28"/>
          <w:szCs w:val="28"/>
        </w:rPr>
        <w:t>为827.80万元，</w:t>
      </w:r>
      <w:r>
        <w:rPr>
          <w:rFonts w:hint="eastAsia" w:ascii="仿宋" w:hAnsi="仿宋" w:eastAsia="仿宋"/>
          <w:sz w:val="28"/>
          <w:szCs w:val="28"/>
          <w:lang w:eastAsia="zh-CN"/>
        </w:rPr>
        <w:t>科研所公司</w:t>
      </w:r>
      <w:r>
        <w:rPr>
          <w:rFonts w:hint="eastAsia" w:ascii="仿宋" w:hAnsi="仿宋" w:eastAsia="仿宋"/>
          <w:sz w:val="28"/>
          <w:szCs w:val="28"/>
        </w:rPr>
        <w:t>为2342.18万元。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2.项目主要内容</w:t>
      </w:r>
    </w:p>
    <w:p>
      <w:pPr>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北燃特检</w:t>
      </w:r>
      <w:r>
        <w:rPr>
          <w:rFonts w:hint="eastAsia" w:ascii="仿宋" w:hAnsi="仿宋" w:eastAsia="仿宋"/>
          <w:sz w:val="28"/>
          <w:szCs w:val="28"/>
        </w:rPr>
        <w:t>：改革过渡期政策保障经费</w:t>
      </w:r>
    </w:p>
    <w:p>
      <w:pPr>
        <w:pStyle w:val="2"/>
        <w:spacing w:line="360" w:lineRule="auto"/>
        <w:ind w:firstLine="420"/>
        <w:rPr>
          <w:rFonts w:ascii="仿宋" w:hAnsi="仿宋" w:eastAsia="仿宋"/>
          <w:sz w:val="28"/>
          <w:szCs w:val="28"/>
        </w:rPr>
      </w:pPr>
      <w:r>
        <w:rPr>
          <w:rFonts w:hint="eastAsia"/>
        </w:rPr>
        <w:t xml:space="preserve"> </w:t>
      </w:r>
      <w:r>
        <w:t xml:space="preserve"> </w:t>
      </w:r>
      <w:r>
        <w:rPr>
          <w:rFonts w:hint="eastAsia" w:ascii="仿宋" w:hAnsi="仿宋" w:eastAsia="仿宋"/>
          <w:sz w:val="28"/>
          <w:szCs w:val="28"/>
          <w:lang w:eastAsia="zh-CN"/>
        </w:rPr>
        <w:t>科研所公司</w:t>
      </w:r>
      <w:r>
        <w:rPr>
          <w:rFonts w:hint="eastAsia" w:ascii="仿宋" w:hAnsi="仿宋" w:eastAsia="仿宋"/>
          <w:sz w:val="28"/>
          <w:szCs w:val="28"/>
        </w:rPr>
        <w:t>：改革过渡期政策保障经费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3.项目实施情况</w:t>
      </w:r>
    </w:p>
    <w:p>
      <w:pPr>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2023年</w:t>
      </w:r>
      <w:r>
        <w:rPr>
          <w:rFonts w:hint="eastAsia" w:ascii="仿宋" w:hAnsi="仿宋" w:eastAsia="仿宋"/>
          <w:sz w:val="28"/>
          <w:szCs w:val="28"/>
        </w:rPr>
        <w:t>上述项目按时、按质</w:t>
      </w:r>
      <w:r>
        <w:rPr>
          <w:rFonts w:hint="eastAsia" w:ascii="仿宋" w:hAnsi="仿宋" w:eastAsia="仿宋"/>
          <w:sz w:val="28"/>
          <w:szCs w:val="28"/>
          <w:lang w:val="en-US" w:eastAsia="zh-CN"/>
        </w:rPr>
        <w:t>完</w:t>
      </w:r>
      <w:r>
        <w:rPr>
          <w:rFonts w:hint="eastAsia" w:ascii="仿宋" w:hAnsi="仿宋" w:eastAsia="仿宋"/>
          <w:sz w:val="28"/>
          <w:szCs w:val="28"/>
        </w:rPr>
        <w:t>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4.资金投入和使用情况</w:t>
      </w:r>
    </w:p>
    <w:p>
      <w:pPr>
        <w:spacing w:line="360" w:lineRule="auto"/>
        <w:ind w:firstLine="560" w:firstLineChars="200"/>
        <w:rPr>
          <w:rFonts w:ascii="宋体" w:hAnsi="宋体"/>
          <w:sz w:val="32"/>
          <w:szCs w:val="40"/>
        </w:rPr>
      </w:pPr>
      <w:r>
        <w:rPr>
          <w:rFonts w:hint="eastAsia" w:ascii="仿宋" w:hAnsi="仿宋" w:eastAsia="仿宋"/>
          <w:sz w:val="28"/>
          <w:szCs w:val="28"/>
        </w:rPr>
        <w:t>该项目申报预算资金</w:t>
      </w:r>
      <w:r>
        <w:rPr>
          <w:rFonts w:ascii="仿宋" w:hAnsi="仿宋" w:eastAsia="仿宋"/>
          <w:sz w:val="28"/>
          <w:szCs w:val="28"/>
        </w:rPr>
        <w:t>3169.98</w:t>
      </w:r>
      <w:r>
        <w:rPr>
          <w:rFonts w:hint="eastAsia" w:ascii="仿宋" w:hAnsi="仿宋" w:eastAsia="仿宋"/>
          <w:sz w:val="28"/>
          <w:szCs w:val="28"/>
        </w:rPr>
        <w:t>万元，预算明细如下</w:t>
      </w:r>
      <w:r>
        <w:rPr>
          <w:rFonts w:hint="eastAsia" w:ascii="宋体" w:hAnsi="宋体"/>
          <w:sz w:val="32"/>
          <w:szCs w:val="40"/>
        </w:rPr>
        <w:t>：</w:t>
      </w:r>
    </w:p>
    <w:tbl>
      <w:tblPr>
        <w:tblStyle w:val="10"/>
        <w:tblW w:w="8364" w:type="dxa"/>
        <w:jc w:val="center"/>
        <w:tblLayout w:type="autofit"/>
        <w:tblCellMar>
          <w:top w:w="0" w:type="dxa"/>
          <w:left w:w="108" w:type="dxa"/>
          <w:bottom w:w="0" w:type="dxa"/>
          <w:right w:w="108" w:type="dxa"/>
        </w:tblCellMar>
      </w:tblPr>
      <w:tblGrid>
        <w:gridCol w:w="4892"/>
        <w:gridCol w:w="3472"/>
      </w:tblGrid>
      <w:tr>
        <w:tblPrEx>
          <w:tblCellMar>
            <w:top w:w="0" w:type="dxa"/>
            <w:left w:w="108" w:type="dxa"/>
            <w:bottom w:w="0" w:type="dxa"/>
            <w:right w:w="108" w:type="dxa"/>
          </w:tblCellMar>
        </w:tblPrEx>
        <w:trPr>
          <w:trHeight w:val="600" w:hRule="atLeast"/>
          <w:jc w:val="center"/>
        </w:trPr>
        <w:tc>
          <w:tcPr>
            <w:tcW w:w="8364" w:type="dxa"/>
            <w:gridSpan w:val="2"/>
            <w:tcBorders>
              <w:top w:val="nil"/>
              <w:left w:val="nil"/>
              <w:bottom w:val="nil"/>
              <w:right w:val="nil"/>
            </w:tcBorders>
            <w:shd w:val="clear" w:color="FFFFCC" w:fill="FFFFFF"/>
            <w:noWrap/>
            <w:vAlign w:val="center"/>
          </w:tcPr>
          <w:p>
            <w:pPr>
              <w:widowControl/>
              <w:jc w:val="center"/>
              <w:rPr>
                <w:rFonts w:ascii="宋体" w:hAnsi="宋体" w:cs="宋体"/>
                <w:color w:val="000000"/>
                <w:kern w:val="0"/>
                <w:sz w:val="24"/>
                <w:szCs w:val="36"/>
              </w:rPr>
            </w:pPr>
            <w:r>
              <w:rPr>
                <w:rFonts w:hint="eastAsia" w:ascii="宋体" w:hAnsi="宋体" w:cs="宋体"/>
                <w:color w:val="000000"/>
                <w:kern w:val="0"/>
                <w:sz w:val="24"/>
                <w:szCs w:val="36"/>
              </w:rPr>
              <w:t>项目预算明细表</w:t>
            </w:r>
          </w:p>
        </w:tc>
      </w:tr>
      <w:tr>
        <w:tblPrEx>
          <w:tblCellMar>
            <w:top w:w="0" w:type="dxa"/>
            <w:left w:w="108" w:type="dxa"/>
            <w:bottom w:w="0" w:type="dxa"/>
            <w:right w:w="108" w:type="dxa"/>
          </w:tblCellMar>
        </w:tblPrEx>
        <w:trPr>
          <w:trHeight w:val="390" w:hRule="atLeast"/>
          <w:jc w:val="center"/>
        </w:trPr>
        <w:tc>
          <w:tcPr>
            <w:tcW w:w="4892" w:type="dxa"/>
            <w:tcBorders>
              <w:top w:val="nil"/>
              <w:left w:val="nil"/>
              <w:bottom w:val="nil"/>
              <w:right w:val="nil"/>
            </w:tcBorders>
            <w:shd w:val="clear" w:color="FFFFCC" w:fill="FFFFFF"/>
            <w:noWrap/>
          </w:tcPr>
          <w:p>
            <w:pPr>
              <w:widowControl/>
              <w:jc w:val="left"/>
              <w:rPr>
                <w:rFonts w:ascii="宋体" w:hAnsi="宋体" w:cs="宋体"/>
                <w:color w:val="000000"/>
                <w:kern w:val="0"/>
                <w:sz w:val="24"/>
                <w:szCs w:val="36"/>
              </w:rPr>
            </w:pPr>
          </w:p>
        </w:tc>
        <w:tc>
          <w:tcPr>
            <w:tcW w:w="3472" w:type="dxa"/>
            <w:tcBorders>
              <w:top w:val="nil"/>
              <w:left w:val="nil"/>
              <w:bottom w:val="nil"/>
              <w:right w:val="nil"/>
            </w:tcBorders>
            <w:shd w:val="clear" w:color="FFFFCC" w:fill="FFFFFF"/>
            <w:noWrap/>
          </w:tcPr>
          <w:p>
            <w:pPr>
              <w:widowControl/>
              <w:jc w:val="left"/>
              <w:rPr>
                <w:rFonts w:ascii="宋体" w:hAnsi="宋体" w:cs="宋体"/>
                <w:color w:val="000000"/>
                <w:kern w:val="0"/>
                <w:sz w:val="24"/>
                <w:szCs w:val="36"/>
              </w:rPr>
            </w:pPr>
            <w:r>
              <w:rPr>
                <w:rFonts w:hint="eastAsia" w:ascii="宋体" w:hAnsi="宋体" w:cs="宋体"/>
                <w:color w:val="000000"/>
                <w:kern w:val="0"/>
                <w:sz w:val="24"/>
                <w:szCs w:val="36"/>
              </w:rPr>
              <w:t xml:space="preserve">            </w:t>
            </w:r>
            <w:r>
              <w:rPr>
                <w:rFonts w:ascii="宋体" w:hAnsi="宋体" w:cs="宋体"/>
                <w:color w:val="000000"/>
                <w:kern w:val="0"/>
                <w:sz w:val="24"/>
                <w:szCs w:val="36"/>
              </w:rPr>
              <w:t xml:space="preserve">     </w:t>
            </w:r>
            <w:r>
              <w:rPr>
                <w:rFonts w:hint="eastAsia" w:ascii="宋体" w:hAnsi="宋体" w:cs="宋体"/>
                <w:color w:val="000000"/>
                <w:kern w:val="0"/>
                <w:sz w:val="24"/>
                <w:szCs w:val="36"/>
              </w:rPr>
              <w:t xml:space="preserve"> 单位：万元</w:t>
            </w:r>
          </w:p>
        </w:tc>
      </w:tr>
      <w:tr>
        <w:tblPrEx>
          <w:tblCellMar>
            <w:top w:w="0" w:type="dxa"/>
            <w:left w:w="108" w:type="dxa"/>
            <w:bottom w:w="0" w:type="dxa"/>
            <w:right w:w="108" w:type="dxa"/>
          </w:tblCellMar>
        </w:tblPrEx>
        <w:trPr>
          <w:trHeight w:val="300" w:hRule="atLeast"/>
          <w:jc w:val="center"/>
        </w:trPr>
        <w:tc>
          <w:tcPr>
            <w:tcW w:w="4892" w:type="dxa"/>
            <w:tcBorders>
              <w:top w:val="single" w:color="auto" w:sz="4" w:space="0"/>
              <w:left w:val="single" w:color="auto" w:sz="4" w:space="0"/>
              <w:bottom w:val="single" w:color="auto" w:sz="4" w:space="0"/>
              <w:right w:val="single" w:color="auto" w:sz="4" w:space="0"/>
            </w:tcBorders>
            <w:shd w:val="clear" w:color="FFFFCC" w:fill="FFFFFF"/>
            <w:vAlign w:val="center"/>
          </w:tcPr>
          <w:p>
            <w:pPr>
              <w:widowControl/>
              <w:jc w:val="center"/>
              <w:rPr>
                <w:rFonts w:ascii="仿宋" w:hAnsi="仿宋" w:eastAsia="仿宋"/>
                <w:b/>
                <w:sz w:val="28"/>
                <w:szCs w:val="28"/>
              </w:rPr>
            </w:pPr>
            <w:r>
              <w:rPr>
                <w:rFonts w:hint="eastAsia" w:ascii="仿宋" w:hAnsi="仿宋" w:eastAsia="仿宋"/>
                <w:b/>
                <w:sz w:val="28"/>
                <w:szCs w:val="28"/>
              </w:rPr>
              <w:t>明细项目名称</w:t>
            </w:r>
          </w:p>
        </w:tc>
        <w:tc>
          <w:tcPr>
            <w:tcW w:w="3472" w:type="dxa"/>
            <w:tcBorders>
              <w:top w:val="single" w:color="auto" w:sz="4" w:space="0"/>
              <w:left w:val="nil"/>
              <w:bottom w:val="single" w:color="auto" w:sz="4" w:space="0"/>
              <w:right w:val="single" w:color="auto" w:sz="4" w:space="0"/>
            </w:tcBorders>
            <w:shd w:val="clear" w:color="FFFFCC" w:fill="FFFFFF"/>
            <w:vAlign w:val="center"/>
          </w:tcPr>
          <w:p>
            <w:pPr>
              <w:widowControl/>
              <w:jc w:val="center"/>
              <w:rPr>
                <w:rFonts w:ascii="仿宋" w:hAnsi="仿宋" w:eastAsia="仿宋"/>
                <w:b/>
                <w:sz w:val="28"/>
                <w:szCs w:val="28"/>
              </w:rPr>
            </w:pPr>
            <w:r>
              <w:rPr>
                <w:rFonts w:hint="eastAsia" w:ascii="仿宋" w:hAnsi="仿宋" w:eastAsia="仿宋"/>
                <w:b/>
                <w:sz w:val="28"/>
                <w:szCs w:val="28"/>
                <w:lang w:eastAsia="zh-CN"/>
              </w:rPr>
              <w:t>2023年</w:t>
            </w:r>
            <w:r>
              <w:rPr>
                <w:rFonts w:hint="eastAsia" w:ascii="仿宋" w:hAnsi="仿宋" w:eastAsia="仿宋"/>
                <w:b/>
                <w:sz w:val="28"/>
                <w:szCs w:val="28"/>
              </w:rPr>
              <w:t>预算</w:t>
            </w:r>
          </w:p>
        </w:tc>
      </w:tr>
      <w:tr>
        <w:tblPrEx>
          <w:tblCellMar>
            <w:top w:w="0" w:type="dxa"/>
            <w:left w:w="108" w:type="dxa"/>
            <w:bottom w:w="0" w:type="dxa"/>
            <w:right w:w="108" w:type="dxa"/>
          </w:tblCellMar>
        </w:tblPrEx>
        <w:trPr>
          <w:trHeight w:val="300" w:hRule="atLeast"/>
          <w:jc w:val="center"/>
        </w:trPr>
        <w:tc>
          <w:tcPr>
            <w:tcW w:w="48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8"/>
                <w:szCs w:val="28"/>
              </w:rPr>
            </w:pPr>
            <w:r>
              <w:rPr>
                <w:rFonts w:hint="eastAsia" w:ascii="仿宋" w:hAnsi="仿宋" w:eastAsia="仿宋"/>
                <w:sz w:val="28"/>
                <w:szCs w:val="28"/>
                <w:lang w:eastAsia="zh-CN"/>
              </w:rPr>
              <w:t>北燃特检</w:t>
            </w:r>
            <w:r>
              <w:rPr>
                <w:rFonts w:hint="eastAsia" w:ascii="仿宋" w:hAnsi="仿宋" w:eastAsia="仿宋"/>
                <w:sz w:val="28"/>
                <w:szCs w:val="28"/>
              </w:rPr>
              <w:t>：改革过渡期政策保障经费</w:t>
            </w:r>
          </w:p>
        </w:tc>
        <w:tc>
          <w:tcPr>
            <w:tcW w:w="3472" w:type="dxa"/>
            <w:tcBorders>
              <w:top w:val="nil"/>
              <w:left w:val="nil"/>
              <w:bottom w:val="single" w:color="auto" w:sz="4" w:space="0"/>
              <w:right w:val="single" w:color="auto" w:sz="4" w:space="0"/>
            </w:tcBorders>
            <w:shd w:val="clear" w:color="FFFFCC" w:fill="FFFFFF"/>
            <w:vAlign w:val="center"/>
          </w:tcPr>
          <w:p>
            <w:pPr>
              <w:widowControl/>
              <w:jc w:val="right"/>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27.80</w:t>
            </w:r>
          </w:p>
        </w:tc>
      </w:tr>
      <w:tr>
        <w:tblPrEx>
          <w:tblCellMar>
            <w:top w:w="0" w:type="dxa"/>
            <w:left w:w="108" w:type="dxa"/>
            <w:bottom w:w="0" w:type="dxa"/>
            <w:right w:w="108" w:type="dxa"/>
          </w:tblCellMar>
        </w:tblPrEx>
        <w:trPr>
          <w:trHeight w:val="300" w:hRule="atLeast"/>
          <w:jc w:val="center"/>
        </w:trPr>
        <w:tc>
          <w:tcPr>
            <w:tcW w:w="48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8"/>
                <w:szCs w:val="28"/>
              </w:rPr>
            </w:pPr>
            <w:r>
              <w:rPr>
                <w:rFonts w:hint="eastAsia" w:ascii="仿宋" w:hAnsi="仿宋" w:eastAsia="仿宋"/>
                <w:sz w:val="28"/>
                <w:szCs w:val="28"/>
                <w:lang w:eastAsia="zh-CN"/>
              </w:rPr>
              <w:t>科研所公司</w:t>
            </w:r>
            <w:r>
              <w:rPr>
                <w:rFonts w:hint="eastAsia" w:ascii="仿宋" w:hAnsi="仿宋" w:eastAsia="仿宋"/>
                <w:sz w:val="28"/>
                <w:szCs w:val="28"/>
              </w:rPr>
              <w:t>：改革过渡期政策保障经费</w:t>
            </w:r>
          </w:p>
        </w:tc>
        <w:tc>
          <w:tcPr>
            <w:tcW w:w="3472" w:type="dxa"/>
            <w:tcBorders>
              <w:top w:val="nil"/>
              <w:left w:val="nil"/>
              <w:bottom w:val="single" w:color="auto" w:sz="4" w:space="0"/>
              <w:right w:val="single" w:color="auto" w:sz="4" w:space="0"/>
            </w:tcBorders>
            <w:shd w:val="clear" w:color="FFFFCC" w:fill="FFFFFF"/>
            <w:vAlign w:val="center"/>
          </w:tcPr>
          <w:p>
            <w:pPr>
              <w:widowControl/>
              <w:jc w:val="righ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342.18</w:t>
            </w:r>
          </w:p>
        </w:tc>
      </w:tr>
      <w:tr>
        <w:tblPrEx>
          <w:tblCellMar>
            <w:top w:w="0" w:type="dxa"/>
            <w:left w:w="108" w:type="dxa"/>
            <w:bottom w:w="0" w:type="dxa"/>
            <w:right w:w="108" w:type="dxa"/>
          </w:tblCellMar>
        </w:tblPrEx>
        <w:trPr>
          <w:trHeight w:val="300" w:hRule="atLeast"/>
          <w:jc w:val="center"/>
        </w:trPr>
        <w:tc>
          <w:tcPr>
            <w:tcW w:w="48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r>
              <w:rPr>
                <w:rFonts w:hint="eastAsia" w:ascii="仿宋" w:hAnsi="仿宋" w:eastAsia="仿宋"/>
                <w:sz w:val="28"/>
                <w:szCs w:val="28"/>
              </w:rPr>
              <w:t>合计</w:t>
            </w:r>
          </w:p>
        </w:tc>
        <w:tc>
          <w:tcPr>
            <w:tcW w:w="3472" w:type="dxa"/>
            <w:tcBorders>
              <w:top w:val="nil"/>
              <w:left w:val="nil"/>
              <w:bottom w:val="single" w:color="auto" w:sz="4" w:space="0"/>
              <w:right w:val="single" w:color="auto" w:sz="4" w:space="0"/>
            </w:tcBorders>
            <w:shd w:val="clear" w:color="FFFFCC" w:fill="FFFFFF"/>
            <w:vAlign w:val="center"/>
          </w:tcPr>
          <w:p>
            <w:pPr>
              <w:widowControl/>
              <w:jc w:val="right"/>
              <w:rPr>
                <w:rFonts w:ascii="仿宋" w:hAnsi="仿宋" w:eastAsia="仿宋"/>
                <w:sz w:val="28"/>
                <w:szCs w:val="28"/>
              </w:rPr>
            </w:pPr>
            <w:r>
              <w:rPr>
                <w:rFonts w:ascii="仿宋" w:hAnsi="仿宋" w:eastAsia="仿宋"/>
                <w:sz w:val="28"/>
                <w:szCs w:val="28"/>
              </w:rPr>
              <w:t>3169.98</w:t>
            </w:r>
          </w:p>
        </w:tc>
      </w:tr>
    </w:tbl>
    <w:p>
      <w:pPr>
        <w:spacing w:line="360" w:lineRule="auto"/>
        <w:ind w:firstLine="560" w:firstLineChars="200"/>
        <w:rPr>
          <w:rFonts w:ascii="仿宋_GB2312" w:hAnsi="仿宋_GB2312" w:eastAsia="仿宋_GB2312" w:cs="仿宋_GB2312"/>
          <w:color w:val="FF0000"/>
          <w:sz w:val="28"/>
          <w:szCs w:val="28"/>
        </w:rPr>
      </w:pPr>
    </w:p>
    <w:p>
      <w:pPr>
        <w:spacing w:line="360" w:lineRule="auto"/>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.项目绩效目标。</w:t>
      </w:r>
    </w:p>
    <w:p>
      <w:pPr>
        <w:pStyle w:val="2"/>
        <w:spacing w:line="360" w:lineRule="auto"/>
        <w:ind w:firstLine="560"/>
      </w:pPr>
      <w:r>
        <w:rPr>
          <w:rFonts w:hint="eastAsia" w:ascii="仿宋" w:hAnsi="仿宋" w:eastAsia="仿宋"/>
          <w:color w:val="000000"/>
          <w:sz w:val="28"/>
          <w:szCs w:val="28"/>
        </w:rPr>
        <w:t>为锅炉、压力容器与管道安全提供监督检验保障，为政府部门对特种设备的监管提供技术服务；为所辖各单位的锅炉、压力容器、压力管道等特种设备提供满意的定期检验服务，保证特种设备定期检验的按时完成；为特种设备使用单位提供支持，为特种设备的安全运行提供检验技术保障与服务。 全面提升北京市公用事业领域装备现代化。</w:t>
      </w:r>
      <w:r>
        <w:rPr>
          <w:rFonts w:hint="eastAsia" w:ascii="仿宋" w:hAnsi="仿宋" w:eastAsia="仿宋"/>
          <w:color w:val="FF0000"/>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（二）绩效评价工作开展情况</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1.绩效评价目的、对象和范围。</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为进一步加强财政预算绩效管理，强化支出责任，提高财政资金使用效益和部门管理水平，依据《中共北京市委北京市人民政府关于全面实施预算绩效管理的实施意见》（京发〔2019〕12号）、《北京市预算绩效管理办法》（京财绩效〔2019〕2129号）和《北京市项目支出绩效评价管理办法》（京财绩效〔2020〕2146号），结合《</w:t>
      </w:r>
      <w:r>
        <w:rPr>
          <w:rFonts w:ascii="仿宋" w:hAnsi="仿宋" w:eastAsia="仿宋"/>
          <w:bCs/>
          <w:sz w:val="28"/>
          <w:szCs w:val="28"/>
        </w:rPr>
        <w:t>北京市财政局关于开展</w:t>
      </w:r>
      <w:r>
        <w:rPr>
          <w:rFonts w:hint="eastAsia" w:ascii="仿宋" w:hAnsi="仿宋" w:eastAsia="仿宋"/>
          <w:bCs/>
          <w:sz w:val="28"/>
          <w:szCs w:val="28"/>
          <w:lang w:eastAsia="zh-CN"/>
        </w:rPr>
        <w:t>2023年</w:t>
      </w:r>
      <w:r>
        <w:rPr>
          <w:rFonts w:ascii="仿宋" w:hAnsi="仿宋" w:eastAsia="仿宋"/>
          <w:bCs/>
          <w:sz w:val="28"/>
          <w:szCs w:val="28"/>
        </w:rPr>
        <w:t>全面预算绩效管理工作的通知</w:t>
      </w:r>
      <w:r>
        <w:rPr>
          <w:rFonts w:hint="eastAsia" w:ascii="仿宋" w:hAnsi="仿宋" w:eastAsia="仿宋"/>
          <w:sz w:val="28"/>
          <w:szCs w:val="28"/>
        </w:rPr>
        <w:t>》（京财绩效〔2022〕669号）的具体工作要求，北京市公用事业科学研究所开展</w:t>
      </w:r>
      <w:r>
        <w:rPr>
          <w:rFonts w:hint="eastAsia" w:ascii="仿宋" w:hAnsi="仿宋" w:eastAsia="仿宋"/>
          <w:sz w:val="28"/>
          <w:szCs w:val="28"/>
          <w:lang w:eastAsia="zh-CN"/>
        </w:rPr>
        <w:t>2023年</w:t>
      </w:r>
      <w:r>
        <w:rPr>
          <w:rFonts w:hint="eastAsia" w:ascii="仿宋" w:hAnsi="仿宋" w:eastAsia="仿宋"/>
          <w:sz w:val="28"/>
          <w:szCs w:val="28"/>
        </w:rPr>
        <w:t>度绩效自评工作。</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财政支出绩效评价旨在通过评价改善预算部门的财政支出管理，优化资源配置及提高公共服务水平。本次绩效评价的目的是对该项目的财政资金使用效率和效益进行评价分析，从中总结出项目管理部门在项目实施过程中的经验和不足之处，提出改善项目管理的建议和措施，帮助提高项目实施单位的管理水平。具体目标如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（1）通过评价，了解该项目的基本情况，对项目背景、项目意义、项目现状和项目内容做深入调研和分析；</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（2）通过评价，了解该项目的产出和效果情况以及整体绩效状况；</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（3）通过评价，了解该项目的资金使用情况，从绩效管理角度梳理该项目决策、实施和管理过程中存在的问题并寻求解决方案，促进其管理水平不断提高。</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2.绩效评价原则、评价指标体系（附表说明）、评价方法、评价标准等。</w:t>
      </w:r>
    </w:p>
    <w:p>
      <w:pPr>
        <w:spacing w:line="600" w:lineRule="exact"/>
        <w:ind w:firstLine="840" w:firstLineChars="300"/>
        <w:rPr>
          <w:rFonts w:ascii="仿宋" w:hAnsi="仿宋" w:eastAsia="仿宋"/>
          <w:sz w:val="28"/>
          <w:szCs w:val="28"/>
        </w:rPr>
      </w:pPr>
      <w:r>
        <w:rPr>
          <w:rFonts w:hint="eastAsia" w:ascii="仿宋" w:hAnsi="仿宋" w:eastAsia="仿宋"/>
          <w:sz w:val="28"/>
          <w:szCs w:val="28"/>
        </w:rPr>
        <w:t>评价原则：</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（1）科学公正。绩效评价应当运用科学合理的方法，按照规范的程序，对项目绩效进行客观、公正的反映。</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（2）统筹兼顾。单位自评、部门评价和财政评价应职责明确，各有侧重，相互衔接。单位自评应由项目单位自主实施,即“谁支出,谁自评”。部门评价和财政评价应在单位自评的基础上开展。</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（3）激励约束。绩效评价结果应用与预算安排、政策调整、改进管理实质性挂钩，体现奖优罚劣和激励相容导向，有效要安排、低效要减压、无效要问责。</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（4）公开透明。绩效评价结果应依法依规公开，并自觉接受社会监督。</w:t>
      </w:r>
    </w:p>
    <w:p>
      <w:pPr>
        <w:spacing w:line="600" w:lineRule="exact"/>
        <w:ind w:firstLine="840" w:firstLineChars="300"/>
        <w:rPr>
          <w:rFonts w:ascii="仿宋" w:hAnsi="仿宋" w:eastAsia="仿宋"/>
          <w:sz w:val="28"/>
          <w:szCs w:val="28"/>
        </w:rPr>
      </w:pPr>
      <w:r>
        <w:rPr>
          <w:rFonts w:hint="eastAsia" w:ascii="仿宋" w:hAnsi="仿宋" w:eastAsia="仿宋"/>
          <w:sz w:val="28"/>
          <w:szCs w:val="28"/>
        </w:rPr>
        <w:t xml:space="preserve">评价方法： </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（1）成本效益分析法。是指将投入与产出、效益进行关联性分析的方法。</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（2）比较法。是指将实施情况与绩效目标、历史情况、不同部门和地区同类支出情况进行比较的方法。</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（3）因素分析法。是指综合分析影响绩效目标实现、实施效果的内外部因素的方法。</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（4）最低成本法。是指在绩效目标确定的前提下，成本最小者为优的方法。</w:t>
      </w:r>
    </w:p>
    <w:p>
      <w:pPr>
        <w:spacing w:line="600" w:lineRule="exact"/>
        <w:ind w:firstLine="840" w:firstLineChars="300"/>
        <w:rPr>
          <w:rFonts w:ascii="仿宋" w:hAnsi="仿宋" w:eastAsia="仿宋"/>
          <w:sz w:val="28"/>
          <w:szCs w:val="28"/>
        </w:rPr>
      </w:pPr>
      <w:r>
        <w:rPr>
          <w:rFonts w:hint="eastAsia" w:ascii="仿宋" w:hAnsi="仿宋" w:eastAsia="仿宋"/>
          <w:sz w:val="28"/>
          <w:szCs w:val="28"/>
        </w:rPr>
        <w:t>评价标准：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（1）计划标准。指以预先制定的目标、计划、预算、定额作为评价标准。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（2）行业标准。指参照国家公布的行业指标数据制定的评价标准。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（3）历史标准。指参照历史数据制定的评价标准，为体现绩效改进的原则，在可实现的条件下应当确定相对较高的评价标准。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（4）财政部门和预算部门确认或认可的其他标准。</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3.绩效评价工作过程。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（1）前期准备</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一是</w:t>
      </w:r>
      <w:r>
        <w:rPr>
          <w:rFonts w:hint="eastAsia" w:ascii="仿宋" w:hAnsi="仿宋" w:eastAsia="仿宋"/>
          <w:sz w:val="28"/>
          <w:szCs w:val="28"/>
          <w:lang w:eastAsia="zh-CN"/>
        </w:rPr>
        <w:t>科研所公司</w:t>
      </w:r>
      <w:r>
        <w:rPr>
          <w:rFonts w:hint="eastAsia" w:ascii="仿宋" w:hAnsi="仿宋" w:eastAsia="仿宋"/>
          <w:sz w:val="28"/>
          <w:szCs w:val="28"/>
        </w:rPr>
        <w:t>负责组建评价工作组，由科研主管领导负责，成员包括财务、科研管理、设备管理、安全管理和专业技术人员组成。</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是编制评价方案。为了保证评价方案的可操作性，评价工作组了解项目实施背景、立项依据、绩效目标、项目管理及目标完成情况，确定评价工作重点和拟采用的评价方法，对相关资料进行认真分析，结合市财政对绩效评价工作相关要求，合理安排评价工作进度，形成评价工作方案。</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三是拟定详细的资料清单，指导项目单位按照绩效评价要求提供相关资料。</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（2）现场核查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是了解绩效目标设立及完成情况。通过查阅该项目的立项依据文件及该项目申报文本等资料，了解预期绩效目标设立情况，并将反映项目完成结果的相关资料与各项预期绩效目标进行比对，评价项目绩效目标完成情况。</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二是了解项目效益实现情况。主要是通过查阅相关业务资料以及评价重点工作完成情况，了解项目实施情况，并对项目社会效益、项目可持续性等进行分析、评价。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三是了解项目预算执行及财务核算情况。收集、核对、检查、分析该项目财务资料，评价该项目预算执行情况及相关财务数据的准确性。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四是选取面对面沟通、查阅资料，了解设备实际使用情况。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（3）综合评议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评价工作组在充分调研的基础上，对项目资料进行逐一核实，按照指标体系内容和评价重点，工作组对资料进行分类整理，共同评议，出具评价意见。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（4）评价报告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评价工作组在汇总评价意见的基础上，撰写该项目绩效评价报告。</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（三）综合评价情况及评价结论（附相关评分表）</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（四）绩效评价指标分析</w:t>
      </w:r>
    </w:p>
    <w:p>
      <w:pPr>
        <w:spacing w:line="360" w:lineRule="auto"/>
        <w:ind w:firstLine="560" w:firstLineChars="200"/>
        <w:outlineLvl w:val="0"/>
        <w:rPr>
          <w:rFonts w:ascii="仿宋" w:hAnsi="仿宋" w:eastAsia="仿宋"/>
          <w:sz w:val="28"/>
          <w:szCs w:val="28"/>
        </w:rPr>
      </w:pPr>
      <w:r>
        <w:rPr>
          <w:rFonts w:hint="eastAsia" w:ascii="仿宋_GB2312" w:hAnsi="仿宋_GB2312" w:eastAsia="仿宋_GB2312" w:cs="仿宋_GB2312"/>
          <w:sz w:val="28"/>
          <w:szCs w:val="28"/>
        </w:rPr>
        <w:t>1.</w:t>
      </w:r>
      <w:r>
        <w:rPr>
          <w:rFonts w:hint="eastAsia" w:ascii="仿宋" w:hAnsi="仿宋" w:eastAsia="仿宋"/>
          <w:sz w:val="28"/>
          <w:szCs w:val="28"/>
        </w:rPr>
        <w:t>项目决策情况。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项目立项前期经过了深入调研，组织了多专业的业内专家进行了论证，参照往年的评价要求兼顾未来事业发展需要，以量化打分的方法优中选优，最终确定立项清单。通过领导班子集体决策，确定该项目预算并向财政申报。</w:t>
      </w:r>
    </w:p>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2.项目过程情况。</w:t>
      </w:r>
    </w:p>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对项目年初要求项目负责人根据今年的工作情况对指标进行分解，编制了分月用款计划，明确个人的任务和责任，财务根据每月用款计划申报用款额度，从申报到具体执行财务进行全程实时跟踪，保证预算的完成进度。</w:t>
      </w:r>
    </w:p>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3.项目产出情况。</w:t>
      </w:r>
    </w:p>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改革过渡期政策保障经费项目：质量合格率100%；成本控制在预算合理范围内，进度计划执行率100%。</w:t>
      </w:r>
    </w:p>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4.项目效益情况。</w:t>
      </w:r>
    </w:p>
    <w:p>
      <w:pPr>
        <w:pStyle w:val="2"/>
        <w:ind w:firstLine="560"/>
        <w:rPr>
          <w:rFonts w:hint="eastAsia"/>
        </w:rPr>
      </w:pPr>
      <w:bookmarkStart w:id="0" w:name="_Hlk144112437"/>
      <w:r>
        <w:rPr>
          <w:rFonts w:hint="eastAsia" w:ascii="仿宋" w:hAnsi="仿宋" w:eastAsia="仿宋"/>
          <w:sz w:val="28"/>
          <w:szCs w:val="28"/>
        </w:rPr>
        <w:t>通过项目的实施，保障了离退人员的基本待遇，稳定了</w:t>
      </w:r>
      <w:r>
        <w:rPr>
          <w:rFonts w:hint="eastAsia" w:ascii="仿宋" w:hAnsi="仿宋" w:eastAsia="仿宋"/>
          <w:sz w:val="28"/>
          <w:szCs w:val="28"/>
          <w:lang w:eastAsia="zh-CN"/>
        </w:rPr>
        <w:t>科研所公司</w:t>
      </w:r>
      <w:r>
        <w:rPr>
          <w:rFonts w:hint="eastAsia" w:ascii="仿宋" w:hAnsi="仿宋" w:eastAsia="仿宋"/>
          <w:sz w:val="28"/>
          <w:szCs w:val="28"/>
        </w:rPr>
        <w:t>和</w:t>
      </w:r>
      <w:r>
        <w:rPr>
          <w:rFonts w:hint="eastAsia" w:ascii="仿宋" w:hAnsi="仿宋" w:eastAsia="仿宋"/>
          <w:sz w:val="28"/>
          <w:szCs w:val="28"/>
          <w:lang w:eastAsia="zh-CN"/>
        </w:rPr>
        <w:t>北燃特检</w:t>
      </w:r>
      <w:r>
        <w:rPr>
          <w:rFonts w:hint="eastAsia" w:ascii="仿宋" w:hAnsi="仿宋" w:eastAsia="仿宋"/>
          <w:sz w:val="28"/>
          <w:szCs w:val="28"/>
        </w:rPr>
        <w:t>员工情绪，化解多项矛盾，确保</w:t>
      </w:r>
      <w:r>
        <w:rPr>
          <w:rFonts w:hint="eastAsia" w:ascii="仿宋" w:hAnsi="仿宋" w:eastAsia="仿宋"/>
          <w:sz w:val="28"/>
          <w:szCs w:val="28"/>
          <w:lang w:eastAsia="zh-CN"/>
        </w:rPr>
        <w:t>科研所公司</w:t>
      </w:r>
      <w:r>
        <w:rPr>
          <w:rFonts w:hint="eastAsia" w:ascii="仿宋" w:hAnsi="仿宋" w:eastAsia="仿宋"/>
          <w:sz w:val="28"/>
          <w:szCs w:val="28"/>
        </w:rPr>
        <w:t>和</w:t>
      </w:r>
      <w:r>
        <w:rPr>
          <w:rFonts w:hint="eastAsia" w:ascii="仿宋" w:hAnsi="仿宋" w:eastAsia="仿宋"/>
          <w:sz w:val="28"/>
          <w:szCs w:val="28"/>
          <w:lang w:eastAsia="zh-CN"/>
        </w:rPr>
        <w:t>北燃特检</w:t>
      </w:r>
      <w:r>
        <w:rPr>
          <w:rFonts w:hint="eastAsia" w:ascii="仿宋" w:hAnsi="仿宋" w:eastAsia="仿宋"/>
          <w:sz w:val="28"/>
          <w:szCs w:val="28"/>
        </w:rPr>
        <w:t>平稳完成事业单位转企改制，减少改革带来的阵痛，</w:t>
      </w:r>
      <w:r>
        <w:rPr>
          <w:rFonts w:hint="eastAsia" w:ascii="仿宋" w:hAnsi="仿宋" w:eastAsia="仿宋"/>
          <w:sz w:val="28"/>
          <w:szCs w:val="28"/>
          <w:lang w:eastAsia="zh-CN"/>
        </w:rPr>
        <w:t>科研所公司</w:t>
      </w:r>
      <w:r>
        <w:rPr>
          <w:rFonts w:hint="eastAsia" w:ascii="仿宋" w:hAnsi="仿宋" w:eastAsia="仿宋"/>
          <w:sz w:val="28"/>
          <w:szCs w:val="28"/>
        </w:rPr>
        <w:t>和</w:t>
      </w:r>
      <w:r>
        <w:rPr>
          <w:rFonts w:hint="eastAsia" w:ascii="仿宋" w:hAnsi="仿宋" w:eastAsia="仿宋"/>
          <w:sz w:val="28"/>
          <w:szCs w:val="28"/>
          <w:lang w:eastAsia="zh-CN"/>
        </w:rPr>
        <w:t>北燃特检</w:t>
      </w:r>
      <w:r>
        <w:rPr>
          <w:rFonts w:hint="eastAsia" w:ascii="仿宋" w:hAnsi="仿宋" w:eastAsia="仿宋"/>
          <w:sz w:val="28"/>
          <w:szCs w:val="28"/>
        </w:rPr>
        <w:t>得以正常运营，持续开展科研及检测业务，推进人才队伍建设和现代企业制度、市场化机制建立，为两个单位转企以后，参与市场竞争，提供了长期、可靠的资金保障。从收集的用户反馈意见并统计核实，用户满意度达到 100%</w:t>
      </w:r>
      <w:bookmarkEnd w:id="0"/>
      <w:r>
        <w:rPr>
          <w:rFonts w:hint="eastAsia"/>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（五）主要经验及做法、存在的问题及原因分析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（六）有关建议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（七）其他需要说明的问题</w:t>
      </w:r>
    </w:p>
    <w:p>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无</w:t>
      </w:r>
    </w:p>
    <w:p>
      <w:pPr>
        <w:pStyle w:val="2"/>
        <w:ind w:firstLine="0" w:firstLineChars="0"/>
      </w:pPr>
    </w:p>
    <w:sectPr>
      <w:footerReference r:id="rId3" w:type="default"/>
      <w:footerReference r:id="rId4" w:type="even"/>
      <w:pgSz w:w="16838" w:h="11906" w:orient="landscape"/>
      <w:pgMar w:top="1134" w:right="1134" w:bottom="1134" w:left="1134" w:header="851" w:footer="68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0MjZlODQ0MDQyMTMyZjViNzNlMzQzMzhiODkyMmMifQ=="/>
  </w:docVars>
  <w:rsids>
    <w:rsidRoot w:val="009016A3"/>
    <w:rsid w:val="001F0BC6"/>
    <w:rsid w:val="00516642"/>
    <w:rsid w:val="005F42D4"/>
    <w:rsid w:val="0070636D"/>
    <w:rsid w:val="007B1CAC"/>
    <w:rsid w:val="008611A6"/>
    <w:rsid w:val="00872D49"/>
    <w:rsid w:val="009016A3"/>
    <w:rsid w:val="00931E21"/>
    <w:rsid w:val="00961311"/>
    <w:rsid w:val="00B51165"/>
    <w:rsid w:val="00C13EA3"/>
    <w:rsid w:val="00C24A8D"/>
    <w:rsid w:val="00C753E2"/>
    <w:rsid w:val="00D8658C"/>
    <w:rsid w:val="00F247AF"/>
    <w:rsid w:val="7B3B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3">
    <w:name w:val="heading 2"/>
    <w:basedOn w:val="1"/>
    <w:next w:val="1"/>
    <w:link w:val="16"/>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link w:val="17"/>
    <w:uiPriority w:val="0"/>
    <w:pPr>
      <w:ind w:firstLine="645"/>
    </w:pPr>
    <w:rPr>
      <w:rFonts w:ascii="仿宋_GB2312" w:hAnsi="Calibri" w:eastAsia="仿宋_GB2312"/>
      <w:sz w:val="32"/>
      <w:szCs w:val="32"/>
    </w:rPr>
  </w:style>
  <w:style w:type="paragraph" w:styleId="5">
    <w:name w:val="Date"/>
    <w:basedOn w:val="1"/>
    <w:next w:val="1"/>
    <w:link w:val="18"/>
    <w:uiPriority w:val="0"/>
    <w:pPr>
      <w:ind w:left="100" w:leftChars="2500"/>
    </w:pPr>
  </w:style>
  <w:style w:type="paragraph" w:styleId="6">
    <w:name w:val="Balloon Text"/>
    <w:basedOn w:val="1"/>
    <w:link w:val="19"/>
    <w:semiHidden/>
    <w:uiPriority w:val="0"/>
    <w:rPr>
      <w:sz w:val="18"/>
      <w:szCs w:val="18"/>
    </w:rPr>
  </w:style>
  <w:style w:type="paragraph" w:styleId="7">
    <w:name w:val="footer"/>
    <w:basedOn w:val="1"/>
    <w:link w:val="15"/>
    <w:unhideWhenUsed/>
    <w:uiPriority w:val="0"/>
    <w:pPr>
      <w:tabs>
        <w:tab w:val="center" w:pos="4153"/>
        <w:tab w:val="right" w:pos="8306"/>
      </w:tabs>
      <w:snapToGrid w:val="0"/>
      <w:jc w:val="left"/>
    </w:pPr>
    <w:rPr>
      <w:sz w:val="18"/>
      <w:szCs w:val="18"/>
    </w:rPr>
  </w:style>
  <w:style w:type="paragraph" w:styleId="8">
    <w:name w:val="header"/>
    <w:basedOn w:val="1"/>
    <w:link w:val="14"/>
    <w:unhideWhenUsed/>
    <w:uiPriority w:val="0"/>
    <w:pPr>
      <w:tabs>
        <w:tab w:val="center" w:pos="4153"/>
        <w:tab w:val="right" w:pos="8306"/>
      </w:tabs>
      <w:snapToGrid w:val="0"/>
      <w:jc w:val="center"/>
    </w:pPr>
    <w:rPr>
      <w:sz w:val="18"/>
      <w:szCs w:val="18"/>
    </w:rPr>
  </w:style>
  <w:style w:type="paragraph" w:styleId="9">
    <w:name w:val="Normal (Web)"/>
    <w:basedOn w:val="1"/>
    <w:unhideWhenUsed/>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uiPriority w:val="0"/>
  </w:style>
  <w:style w:type="character" w:customStyle="1" w:styleId="14">
    <w:name w:val="页眉 字符"/>
    <w:basedOn w:val="11"/>
    <w:link w:val="8"/>
    <w:uiPriority w:val="99"/>
    <w:rPr>
      <w:sz w:val="18"/>
      <w:szCs w:val="18"/>
    </w:rPr>
  </w:style>
  <w:style w:type="character" w:customStyle="1" w:styleId="15">
    <w:name w:val="页脚 字符"/>
    <w:basedOn w:val="11"/>
    <w:link w:val="7"/>
    <w:uiPriority w:val="99"/>
    <w:rPr>
      <w:sz w:val="18"/>
      <w:szCs w:val="18"/>
    </w:rPr>
  </w:style>
  <w:style w:type="character" w:customStyle="1" w:styleId="16">
    <w:name w:val="标题 2 字符"/>
    <w:basedOn w:val="11"/>
    <w:link w:val="3"/>
    <w:uiPriority w:val="0"/>
    <w:rPr>
      <w:rFonts w:ascii="Cambria" w:hAnsi="Cambria" w:eastAsia="黑体" w:cs="Times New Roman"/>
      <w:b/>
      <w:bCs/>
      <w:kern w:val="0"/>
      <w:sz w:val="36"/>
      <w:szCs w:val="32"/>
      <w14:ligatures w14:val="none"/>
    </w:rPr>
  </w:style>
  <w:style w:type="character" w:customStyle="1" w:styleId="17">
    <w:name w:val="正文文本缩进 字符"/>
    <w:basedOn w:val="11"/>
    <w:link w:val="4"/>
    <w:uiPriority w:val="0"/>
    <w:rPr>
      <w:rFonts w:ascii="仿宋_GB2312" w:hAnsi="Calibri" w:eastAsia="仿宋_GB2312" w:cs="Times New Roman"/>
      <w:sz w:val="32"/>
      <w:szCs w:val="32"/>
      <w14:ligatures w14:val="none"/>
    </w:rPr>
  </w:style>
  <w:style w:type="character" w:customStyle="1" w:styleId="18">
    <w:name w:val="日期 字符"/>
    <w:basedOn w:val="11"/>
    <w:link w:val="5"/>
    <w:uiPriority w:val="0"/>
    <w:rPr>
      <w:rFonts w:ascii="Times New Roman" w:hAnsi="Times New Roman" w:eastAsia="宋体" w:cs="Times New Roman"/>
      <w:szCs w:val="24"/>
      <w14:ligatures w14:val="none"/>
    </w:rPr>
  </w:style>
  <w:style w:type="character" w:customStyle="1" w:styleId="19">
    <w:name w:val="批注框文本 字符"/>
    <w:basedOn w:val="11"/>
    <w:link w:val="6"/>
    <w:semiHidden/>
    <w:uiPriority w:val="0"/>
    <w:rPr>
      <w:rFonts w:ascii="Times New Roman" w:hAnsi="Times New Roman" w:eastAsia="宋体" w:cs="Times New Roman"/>
      <w:sz w:val="18"/>
      <w:szCs w:val="18"/>
      <w14:ligatures w14:val="none"/>
    </w:rPr>
  </w:style>
  <w:style w:type="character" w:customStyle="1" w:styleId="20">
    <w:name w:val="页脚 Char"/>
    <w:uiPriority w:val="0"/>
    <w:rPr>
      <w:rFonts w:eastAsia="宋体"/>
      <w:kern w:val="2"/>
      <w:sz w:val="18"/>
      <w:szCs w:val="18"/>
      <w:lang w:val="en-US" w:eastAsia="zh-CN" w:bidi="ar-SA"/>
    </w:rPr>
  </w:style>
  <w:style w:type="character" w:customStyle="1" w:styleId="21">
    <w:name w:val="页眉 Char"/>
    <w:uiPriority w:val="0"/>
    <w:rPr>
      <w:rFonts w:ascii="Calibri" w:hAnsi="Calibri" w:eastAsia="宋体"/>
      <w:kern w:val="2"/>
      <w:sz w:val="18"/>
      <w:szCs w:val="18"/>
      <w:lang w:val="en-US" w:eastAsia="zh-CN" w:bidi="ar-SA"/>
    </w:rPr>
  </w:style>
  <w:style w:type="paragraph" w:customStyle="1" w:styleId="22">
    <w:name w:val="Char Char Char Char Char Char Char"/>
    <w:basedOn w:val="1"/>
    <w:uiPriority w:val="0"/>
    <w:rPr>
      <w:rFonts w:ascii="Tahoma" w:hAnsi="Tahoma"/>
      <w:sz w:val="24"/>
      <w:szCs w:val="20"/>
    </w:rPr>
  </w:style>
  <w:style w:type="paragraph" w:customStyle="1" w:styleId="23">
    <w:name w:val="Char1 Char Char Char"/>
    <w:basedOn w:val="1"/>
    <w:uiPriority w:val="0"/>
    <w:pPr>
      <w:widowControl/>
      <w:spacing w:after="160" w:line="240" w:lineRule="exact"/>
      <w:jc w:val="left"/>
    </w:pPr>
    <w:rPr>
      <w:szCs w:val="20"/>
    </w:rPr>
  </w:style>
  <w:style w:type="paragraph" w:customStyle="1" w:styleId="24">
    <w:name w:val="Char"/>
    <w:basedOn w:val="1"/>
    <w:uiPriority w:val="0"/>
    <w:rPr>
      <w:rFonts w:ascii="Tahoma" w:hAnsi="Tahoma"/>
      <w:sz w:val="24"/>
      <w:szCs w:val="20"/>
    </w:rPr>
  </w:style>
  <w:style w:type="paragraph" w:customStyle="1" w:styleId="25">
    <w:name w:val="Char Char3 Char Char"/>
    <w:basedOn w:val="1"/>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2881</Words>
  <Characters>2987</Characters>
  <Lines>22</Lines>
  <Paragraphs>6</Paragraphs>
  <TotalTime>16</TotalTime>
  <ScaleCrop>false</ScaleCrop>
  <LinksUpToDate>false</LinksUpToDate>
  <CharactersWithSpaces>3020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2023-06-14T09:10:00Z</dcterms:created>
  <dc:creator>ych</dc:creator>
  <cp:lastModifiedBy>企业用户_1410004247</cp:lastModifiedBy>
  <dcterms:modified xsi:type="dcterms:W3CDTF">2024-06-07T02:43:51Z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A193458439534728B288ABFE5DC04D90_12</vt:lpwstr>
  </property>
</Properties>
</file>